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OUTLET OPERATIONS</w:t>
      </w:r>
    </w:p>
    <w:p>
      <w:pPr>
        <w:pStyle w:val="Title"/>
      </w:pPr>
      <w:r>
        <w:t>Pro Life Outlet Operations SOP</w:t>
      </w:r>
    </w:p>
    <w:p>
      <w:pPr>
        <w:pStyle w:val="Heading2"/>
      </w:pPr>
      <w:r>
        <w:t>Scope and accountability</w:t>
      </w:r>
    </w:p>
    <w:p>
      <w:r>
        <w:t>Use this SOP at every opening, shift handover and closing. The cashier records till activity. The shift lead checks readiness and assigns work. The branch lead reviews exceptions and submits outlet reports. The designated manager approves rosters and changes within delegated authority.</w:t>
      </w:r>
    </w:p>
    <w:tbl>
      <w:tblPr>
        <w:tblStyle w:val="LightShading-Accent1"/>
        <w:tblW w:type="auto" w:w="0"/>
        <w:tblLook w:firstColumn="1" w:firstRow="1" w:lastColumn="0" w:lastRow="0" w:noHBand="0" w:noVBand="1" w:val="04A0"/>
      </w:tblPr>
      <w:tblGrid>
        <w:gridCol w:w="4802"/>
        <w:gridCol w:w="4802"/>
      </w:tblGrid>
      <w:tr>
        <w:tc>
          <w:tcPr>
            <w:tcW w:type="dxa" w:w="4802"/>
          </w:tcPr>
          <w:p>
            <w:r>
              <w:t>Procedure</w:t>
            </w:r>
          </w:p>
        </w:tc>
        <w:tc>
          <w:tcPr>
            <w:tcW w:type="dxa" w:w="4802"/>
          </w:tcPr>
          <w:p>
            <w:r>
              <w:t>Owner</w:t>
            </w:r>
          </w:p>
        </w:tc>
      </w:tr>
      <w:tr>
        <w:tc>
          <w:tcPr>
            <w:tcW w:type="dxa" w:w="4802"/>
          </w:tcPr>
          <w:p>
            <w:r>
              <w:t>RET-01 Opening and cash float</w:t>
            </w:r>
          </w:p>
        </w:tc>
        <w:tc>
          <w:tcPr>
            <w:tcW w:type="dxa" w:w="4802"/>
          </w:tcPr>
          <w:p>
            <w:r>
              <w:t>Opening cashier and independent reviewer</w:t>
            </w:r>
          </w:p>
        </w:tc>
      </w:tr>
      <w:tr>
        <w:tc>
          <w:tcPr>
            <w:tcW w:type="dxa" w:w="4802"/>
          </w:tcPr>
          <w:p>
            <w:r>
              <w:t>RET-02 Cleaning and showroom readiness</w:t>
            </w:r>
          </w:p>
        </w:tc>
        <w:tc>
          <w:tcPr>
            <w:tcW w:type="dxa" w:w="4802"/>
          </w:tcPr>
          <w:p>
            <w:r>
              <w:t>Assigned staff and shift lead</w:t>
            </w:r>
          </w:p>
        </w:tc>
      </w:tr>
      <w:tr>
        <w:tc>
          <w:tcPr>
            <w:tcW w:type="dxa" w:w="4802"/>
          </w:tcPr>
          <w:p>
            <w:r>
              <w:t>RET-03 Documentation and handover</w:t>
            </w:r>
          </w:p>
        </w:tc>
        <w:tc>
          <w:tcPr>
            <w:tcW w:type="dxa" w:w="4802"/>
          </w:tcPr>
          <w:p>
            <w:r>
              <w:t>Shift staff and branch lead</w:t>
            </w:r>
          </w:p>
        </w:tc>
      </w:tr>
      <w:tr>
        <w:tc>
          <w:tcPr>
            <w:tcW w:type="dxa" w:w="4802"/>
          </w:tcPr>
          <w:p>
            <w:r>
              <w:t>RET-04 Roster and approval</w:t>
            </w:r>
          </w:p>
        </w:tc>
        <w:tc>
          <w:tcPr>
            <w:tcW w:type="dxa" w:w="4802"/>
          </w:tcPr>
          <w:p>
            <w:r>
              <w:t>Branch lead and designated manager</w:t>
            </w:r>
          </w:p>
        </w:tc>
      </w:tr>
      <w:tr>
        <w:tc>
          <w:tcPr>
            <w:tcW w:type="dxa" w:w="4802"/>
          </w:tcPr>
          <w:p>
            <w:r>
              <w:t>RET-05 Merchandising and planogram</w:t>
            </w:r>
          </w:p>
        </w:tc>
        <w:tc>
          <w:tcPr>
            <w:tcW w:type="dxa" w:w="4802"/>
          </w:tcPr>
          <w:p>
            <w:r>
              <w:t>Floor staff and branch lead</w:t>
            </w:r>
          </w:p>
        </w:tc>
      </w:tr>
      <w:tr>
        <w:tc>
          <w:tcPr>
            <w:tcW w:type="dxa" w:w="4802"/>
          </w:tcPr>
          <w:p>
            <w:r>
              <w:t>RET-06 Closing and reporting</w:t>
            </w:r>
          </w:p>
        </w:tc>
        <w:tc>
          <w:tcPr>
            <w:tcW w:type="dxa" w:w="4802"/>
          </w:tcPr>
          <w:p>
            <w:r>
              <w:t>Closing cashier and independent reviewer</w:t>
            </w:r>
          </w:p>
        </w:tc>
      </w:tr>
      <w:tr>
        <w:tc>
          <w:tcPr>
            <w:tcW w:type="dxa" w:w="4802"/>
          </w:tcPr>
          <w:p>
            <w:r>
              <w:t>RET-07 Equipment rental and delivery</w:t>
            </w:r>
          </w:p>
        </w:tc>
        <w:tc>
          <w:tcPr>
            <w:tcW w:type="dxa" w:w="4802"/>
          </w:tcPr>
          <w:p>
            <w:r>
              <w:t>Outlet staff and Pro Life HQ</w:t>
            </w:r>
          </w:p>
        </w:tc>
      </w:tr>
    </w:tbl>
    <w:p>
      <w:pPr>
        <w:pStyle w:val="Heading2"/>
      </w:pPr>
      <w:r>
        <w:t>Document control</w:t>
      </w:r>
    </w:p>
    <w:p>
      <w:r>
        <w:t>Management confirms the outlet, effective date, register float amounts, approvers and alternates, reporting deadlines, record location and approved planogram version. Finance confirms the POS mapping for float transfers and cash variances.</w:t>
      </w:r>
    </w:p>
    <w:p>
      <w:r>
        <w:br w:type="page"/>
      </w:r>
    </w:p>
    <w:p>
      <w:r>
        <w:t>RET-01  /  RET-02</w:t>
      </w:r>
    </w:p>
    <w:p>
      <w:pPr>
        <w:pStyle w:val="Heading1"/>
      </w:pPr>
      <w:r>
        <w:t>Opening and showroom readiness</w:t>
      </w:r>
    </w:p>
    <w:p>
      <w:pPr>
        <w:pStyle w:val="Heading2"/>
      </w:pPr>
      <w:r>
        <w:t>Open the cash register</w:t>
      </w:r>
    </w:p>
    <w:p>
      <w:r>
        <w:t>1. Confirm the outlet, business date, shift, till ID and approved float. Retrieve the float against the prior closing record or authorised cash transfer reference.</w:t>
      </w:r>
    </w:p>
    <w:p>
      <w:r>
        <w:t>2. Count notes and coins by denomination before the first cash sale. Record quantities, subtotals and the physical total. The independent reviewer verifies the count and both staff sign and time the log.</w:t>
      </w:r>
    </w:p>
    <w:p>
      <w:r>
        <w:t>3. If the amount differs, recount and check the source record. Log the original difference and obtain a documented decision before opening for cash sales. Record any authorised top-up or removal separately.</w:t>
      </w:r>
    </w:p>
    <w:p>
      <w:r>
        <w:t>4. Sign in with your own POS account. Enter the verified cash loaded as the opening float and match it to the signed record. Retain the POS reference.</w:t>
      </w:r>
    </w:p>
    <w:p>
      <w:r>
        <w:t>The opening float is cash on hand. A transfer from the outlet safe to the till is an internal cash movement. Use the POS opening-float function to keep it separate from sales. Finance confirms treatment under the company’s applicable accounting framework.</w:t>
      </w:r>
    </w:p>
    <w:p>
      <w:pPr>
        <w:pStyle w:val="Heading2"/>
      </w:pPr>
      <w:r>
        <w:t>Clean and inspect the showroom</w:t>
      </w:r>
    </w:p>
    <w:p>
      <w:r>
        <w:t>Before opening, clean the entrance, customer seating, counter, gondolas and demo areas. Check that aisles are clear and the wheelchair turf and raised commode display are in good condition. Keep the seating area ready for older customers and caregivers.</w:t>
      </w:r>
    </w:p>
    <w:p>
      <w:r>
        <w:t>During the shift, address spills promptly and clean demo equipment after use according to manufacturer instructions. Set damaged equipment aside and notify the shift lead. At close, reset displays, remove waste and record unfinished cleaning or defects.</w:t>
      </w:r>
    </w:p>
    <w:p>
      <w:r>
        <w:br w:type="page"/>
      </w:r>
    </w:p>
    <w:p>
      <w:r>
        <w:t>RET-03  /  RET-04</w:t>
      </w:r>
    </w:p>
    <w:p>
      <w:pPr>
        <w:pStyle w:val="Heading1"/>
      </w:pPr>
      <w:r>
        <w:t>Documentation and roster approval</w:t>
      </w:r>
    </w:p>
    <w:p>
      <w:pPr>
        <w:pStyle w:val="Heading2"/>
      </w:pPr>
      <w:r>
        <w:t>Record outlet activity and hand over</w:t>
      </w:r>
    </w:p>
    <w:p>
      <w:r>
        <w:t>Record sales exceptions, cash movements, stock receipts and transfers, delivery commitments and incidents when they occur. Include date, outlet, responsible person and supporting reference. Record serial or batch information where required by the product and system.</w:t>
      </w:r>
    </w:p>
    <w:p>
      <w:r>
        <w:t>Keep original entries when correcting errors. Record the correction, reason, date and reviewer. Store records in the designated location with access limited to authorised staff.</w:t>
      </w:r>
    </w:p>
    <w:p>
      <w:r>
        <w:t>At handover, list every open issue with its reference, named owner, next action and due time. The incoming shift confirms receipt. Escalate serious safety, cash or customer information incidents promptly through the designated contact.</w:t>
      </w:r>
    </w:p>
    <w:p>
      <w:pPr>
        <w:pStyle w:val="Heading2"/>
      </w:pPr>
      <w:r>
        <w:t>Prepare and approve the roster</w:t>
      </w:r>
    </w:p>
    <w:p>
      <w:r>
        <w:t>The branch lead prepares the roster using expected trade, staff availability and approved leave. Assign opening and closing staff, independent till reviewers, break cover and trained demo staff.</w:t>
      </w:r>
    </w:p>
    <w:p>
      <w:r>
        <w:t>Send the roster to the designated manager by the agreed deadline. Issue the dated version after approval. For a swap, leave change or overtime request, confirm cover, obtain approval and publish the revised roster. Keep the original and approval trail.</w:t>
      </w:r>
    </w:p>
    <w:tbl>
      <w:tblPr>
        <w:tblStyle w:val="LightShading-Accent1"/>
        <w:tblW w:type="auto" w:w="0"/>
        <w:tblLook w:firstColumn="1" w:firstRow="1" w:lastColumn="0" w:lastRow="0" w:noHBand="0" w:noVBand="1" w:val="04A0"/>
      </w:tblPr>
      <w:tblGrid>
        <w:gridCol w:w="4802"/>
        <w:gridCol w:w="4802"/>
      </w:tblGrid>
      <w:tr>
        <w:tc>
          <w:tcPr>
            <w:tcW w:type="dxa" w:w="4802"/>
          </w:tcPr>
          <w:p>
            <w:r>
              <w:t>Record</w:t>
            </w:r>
          </w:p>
        </w:tc>
        <w:tc>
          <w:tcPr>
            <w:tcW w:type="dxa" w:w="4802"/>
          </w:tcPr>
          <w:p>
            <w:r>
              <w:t>Minimum fields</w:t>
            </w:r>
          </w:p>
        </w:tc>
      </w:tr>
      <w:tr>
        <w:tc>
          <w:tcPr>
            <w:tcW w:type="dxa" w:w="4802"/>
          </w:tcPr>
          <w:p>
            <w:r>
              <w:t>Shift handover</w:t>
            </w:r>
          </w:p>
        </w:tc>
        <w:tc>
          <w:tcPr>
            <w:tcW w:type="dxa" w:w="4802"/>
          </w:tcPr>
          <w:p>
            <w:r>
              <w:t>Issue, source reference, owner, action, due time, receiving staff</w:t>
            </w:r>
          </w:p>
        </w:tc>
      </w:tr>
      <w:tr>
        <w:tc>
          <w:tcPr>
            <w:tcW w:type="dxa" w:w="4802"/>
          </w:tcPr>
          <w:p>
            <w:r>
              <w:t>Roster approval</w:t>
            </w:r>
          </w:p>
        </w:tc>
        <w:tc>
          <w:tcPr>
            <w:tcW w:type="dxa" w:w="4802"/>
          </w:tcPr>
          <w:p>
            <w:r>
              <w:t>Outlet, week, version, preparer, approver, approval time</w:t>
            </w:r>
          </w:p>
        </w:tc>
      </w:tr>
      <w:tr>
        <w:tc>
          <w:tcPr>
            <w:tcW w:type="dxa" w:w="4802"/>
          </w:tcPr>
          <w:p>
            <w:r>
              <w:t>Roster change</w:t>
            </w:r>
          </w:p>
        </w:tc>
        <w:tc>
          <w:tcPr>
            <w:tcW w:type="dxa" w:w="4802"/>
          </w:tcPr>
          <w:p>
            <w:r>
              <w:t>Original shift, revised shift, reason, replacement, approver and notification time</w:t>
            </w:r>
          </w:p>
        </w:tc>
      </w:tr>
    </w:tbl>
    <w:p>
      <w:r>
        <w:br w:type="page"/>
      </w:r>
    </w:p>
    <w:p>
      <w:r>
        <w:t>RET-05</w:t>
      </w:r>
    </w:p>
    <w:p>
      <w:pPr>
        <w:pStyle w:val="Heading1"/>
      </w:pPr>
      <w:r>
        <w:t>Merchandise and gondola display</w:t>
      </w:r>
    </w:p>
    <w:p>
      <w:pPr>
        <w:pStyle w:val="Heading2"/>
      </w:pPr>
      <w:r>
        <w:t>Use the approved planogram</w:t>
      </w:r>
    </w:p>
    <w:p>
      <w:r>
        <w:t>Open the outlet’s planogram in the Staff Handbook portal when issued. Use the 3D view to locate fixtures and the numbered fixture cards to place products. Check the outlet name, version and effective date before resetting a display.</w:t>
      </w:r>
    </w:p>
    <w:tbl>
      <w:tblPr>
        <w:tblStyle w:val="LightShading-Accent1"/>
        <w:tblW w:type="auto" w:w="0"/>
        <w:tblLook w:firstColumn="1" w:firstRow="1" w:lastColumn="0" w:lastRow="0" w:noHBand="0" w:noVBand="1" w:val="04A0"/>
      </w:tblPr>
      <w:tblGrid>
        <w:gridCol w:w="4802"/>
        <w:gridCol w:w="4802"/>
      </w:tblGrid>
      <w:tr>
        <w:tc>
          <w:tcPr>
            <w:tcW w:type="dxa" w:w="4802"/>
          </w:tcPr>
          <w:p>
            <w:r>
              <w:t>Reference</w:t>
            </w:r>
          </w:p>
        </w:tc>
        <w:tc>
          <w:tcPr>
            <w:tcW w:type="dxa" w:w="4802"/>
          </w:tcPr>
          <w:p>
            <w:r>
              <w:t>What staff verify</w:t>
            </w:r>
          </w:p>
        </w:tc>
      </w:tr>
      <w:tr>
        <w:tc>
          <w:tcPr>
            <w:tcW w:type="dxa" w:w="4802"/>
          </w:tcPr>
          <w:p>
            <w:r>
              <w:t>3D showroom view</w:t>
            </w:r>
          </w:p>
        </w:tc>
        <w:tc>
          <w:tcPr>
            <w:tcW w:type="dxa" w:w="4802"/>
          </w:tcPr>
          <w:p>
            <w:r>
              <w:t>Both full-size island gondolas, angled wheelchair row on green turf, raised commode display, front-right seating and rear bed display.</w:t>
            </w:r>
          </w:p>
        </w:tc>
      </w:tr>
      <w:tr>
        <w:tc>
          <w:tcPr>
            <w:tcW w:type="dxa" w:w="4802"/>
          </w:tcPr>
          <w:p>
            <w:r>
              <w:t>Fixture card</w:t>
            </w:r>
          </w:p>
        </w:tc>
        <w:tc>
          <w:tcPr>
            <w:tcW w:type="dxa" w:w="4802"/>
          </w:tcPr>
          <w:p>
            <w:r>
              <w:t>Fixture and shelf number, SKU and variant, position from left to right, facings and corresponding shelf label.</w:t>
            </w:r>
          </w:p>
        </w:tc>
      </w:tr>
      <w:tr>
        <w:tc>
          <w:tcPr>
            <w:tcW w:type="dxa" w:w="4802"/>
          </w:tcPr>
          <w:p>
            <w:r>
              <w:t>Display exception</w:t>
            </w:r>
          </w:p>
        </w:tc>
        <w:tc>
          <w:tcPr>
            <w:tcW w:type="dxa" w:w="4802"/>
          </w:tcPr>
          <w:p>
            <w:r>
              <w:t>Fixture, SKU, issue, temporary action, approver and review date.</w:t>
            </w:r>
          </w:p>
        </w:tc>
      </w:tr>
    </w:tbl>
    <w:p>
      <w:pPr>
        <w:pStyle w:val="Heading2"/>
      </w:pPr>
      <w:r>
        <w:t>Reset and replenish</w:t>
      </w:r>
    </w:p>
    <w:p>
      <w:r>
        <w:t>Work shelf by shelf. Check the pack against its label, face products forward, restore the assigned facings and rotate dated stock by earliest expiry where applicable. Keep the aisles, seating and demo access clear.</w:t>
      </w:r>
    </w:p>
    <w:p>
      <w:r>
        <w:t>Log missing or damaged stock and label mismatches. Obtain branch lead approval for temporary substitutes or display changes, and verify that the price label matches the displayed product. Submit permanent changes for planogram revision and approval.</w:t>
      </w:r>
    </w:p>
    <w:p>
      <w:r>
        <w:t>Use the planogram as a visual reference. Verify shelf assignments against the outlet’s fixtures and active SKU list.</w:t>
      </w:r>
    </w:p>
    <w:p>
      <w:r>
        <w:br w:type="page"/>
      </w:r>
    </w:p>
    <w:p>
      <w:r>
        <w:t>RET-06</w:t>
      </w:r>
    </w:p>
    <w:p>
      <w:pPr>
        <w:pStyle w:val="Heading1"/>
      </w:pPr>
      <w:r>
        <w:t>Cash register closing and reporting</w:t>
      </w:r>
    </w:p>
    <w:p>
      <w:pPr>
        <w:pStyle w:val="Heading2"/>
      </w:pPr>
      <w:r>
        <w:t>Enter all denominations in Auto Count – Closing</w:t>
      </w:r>
    </w:p>
    <w:p>
      <w:r>
        <w:t>1. End transactions for the register and confirm the business date, shift and POS session. Count all physical notes and coins in a secure area.</w:t>
      </w:r>
    </w:p>
    <w:p>
      <w:r>
        <w:t>2. Open Auto Count – Closing. Enter the quantity of every banknote denomination, including zero where applicable. Enter coins by denomination if supported. Otherwise record the coin total separately and include it in the physical cash total once.</w:t>
      </w:r>
    </w:p>
    <w:p>
      <w:r>
        <w:t>3. Compare the physical total with the POS expected cash balance for the same register and shift. Check the opening float, cash sales, cash refunds, top-ups, payouts and cash drops against the system records. Reconcile card and e-wallet settlements separately.</w:t>
      </w:r>
    </w:p>
    <w:p>
      <w:r>
        <w:t>4. If the totals differ, recount and check recorded movements. Record actual less expected as the variance and escalate unresolved differences to the authorised reviewer. Keep the original count and record approved adjustments separately.</w:t>
      </w:r>
    </w:p>
    <w:p>
      <w:r>
        <w:t>5. Mark balanced only when the totals tally. For an unresolved variance, record the reviewer’s decision and closing status. The cashier and reviewer sign and time the log, save the POS closing reference and secure cash and any retained float under the outlet’s cash procedure.</w:t>
      </w:r>
    </w:p>
    <w:p>
      <w:pPr>
        <w:pStyle w:val="Heading2"/>
      </w:pPr>
      <w:r>
        <w:t>Submit the outlet report</w:t>
      </w:r>
    </w:p>
    <w:p>
      <w:r>
        <w:t>The branch lead reviews the daily close and reports net sales, refunds, payment variances, stock exceptions and urgent actions. Carry recurring issues and overdue commitments into the weekly summary. Keep supporting POS records and approvals with the report.</w:t>
      </w:r>
    </w:p>
    <w:p>
      <w:r>
        <w:br w:type="page"/>
      </w:r>
    </w:p>
    <w:p>
      <w:r>
        <w:t>RET-07  /  EQUIPMENT RENTAL</w:t>
      </w:r>
    </w:p>
    <w:p>
      <w:pPr>
        <w:pStyle w:val="Heading1"/>
      </w:pPr>
      <w:r>
        <w:t>Equipment rental and HQ delivery</w:t>
      </w:r>
    </w:p>
    <w:p>
      <w:r>
        <w:t>Outlet staff complete the rental paperwork and confirm payment before requesting delivery. Pro Life HQ confirms the delivery arrangements.</w:t>
      </w:r>
    </w:p>
    <w:p>
      <w:pPr>
        <w:pStyle w:val="ListNumber"/>
      </w:pPr>
      <w:r>
        <w:t>Confirm the rental details. Check equipment availability, model, rental dates, charges, deposit if applicable, delivery address and receiving contact against the approved rental terms.</w:t>
      </w:r>
    </w:p>
    <w:p>
      <w:pPr>
        <w:pStyle w:val="ListNumber"/>
      </w:pPr>
      <w:r>
        <w:t>Obtain the customer’s signature. Use the approved rental agreement. Check that the required fields are complete and give the customer a copy of the signed agreement.</w:t>
      </w:r>
    </w:p>
    <w:p>
      <w:pPr>
        <w:pStyle w:val="ListNumber"/>
      </w:pPr>
      <w:r>
        <w:t>Receive and record payment. Verify receipt of the required payment in the approved payment system, issue the official receipt and attach a copy to the signed agreement. Record the transaction reference and retain both documents together in the rental record.</w:t>
      </w:r>
    </w:p>
    <w:p>
      <w:pPr>
        <w:pStyle w:val="ListNumber"/>
      </w:pPr>
      <w:r>
        <w:t>Notify Pro Life HQ for delivery. Send the signed agreement and attached receipt through the approved HQ channel. Include the outlet, equipment model and quantity, requested delivery date, delivery address and receiving contact.</w:t>
      </w:r>
    </w:p>
    <w:p>
      <w:pPr>
        <w:pStyle w:val="ListNumber"/>
      </w:pPr>
      <w:r>
        <w:t>Confirm and track delivery. Record the HQ acknowledgement and confirmed delivery slot, then update the customer. Keep pending arrangements in the shift handover and retain delivery confirmation with the rental record.</w:t>
      </w:r>
    </w:p>
    <w:p>
      <w:pPr>
        <w:pStyle w:val="Heading2"/>
      </w:pPr>
      <w:r>
        <w:t>Rental record</w:t>
      </w:r>
    </w:p>
    <w:p>
      <w:r>
        <w:t>Rental reference, equipment model and quantity, rental dates, signed agreement, payment receipt, HQ notification and acknowledgement, confirmed delivery slot and delivery confirmation.</w:t>
      </w:r>
    </w:p>
    <w:p>
      <w:r>
        <w:br w:type="page"/>
      </w:r>
    </w:p>
    <w:p>
      <w:r>
        <w:t>FORMS  /  SHIFT RECORDS</w:t>
      </w:r>
    </w:p>
    <w:p>
      <w:pPr>
        <w:pStyle w:val="Heading1"/>
      </w:pPr>
      <w:r>
        <w:t>Outlet opening and closing log</w:t>
      </w:r>
    </w:p>
    <w:tbl>
      <w:tblPr>
        <w:tblStyle w:val="LightShading-Accent1"/>
        <w:tblW w:type="auto" w:w="0"/>
        <w:tblLook w:firstColumn="1" w:firstRow="1" w:lastColumn="0" w:lastRow="0" w:noHBand="0" w:noVBand="1" w:val="04A0"/>
      </w:tblPr>
      <w:tblGrid>
        <w:gridCol w:w="4802"/>
        <w:gridCol w:w="4802"/>
      </w:tblGrid>
      <w:tr>
        <w:tc>
          <w:tcPr>
            <w:tcW w:type="dxa" w:w="4802"/>
          </w:tcPr>
          <w:p>
            <w:r>
              <w:t>Field</w:t>
            </w:r>
          </w:p>
        </w:tc>
        <w:tc>
          <w:tcPr>
            <w:tcW w:type="dxa" w:w="4802"/>
          </w:tcPr>
          <w:p>
            <w:r>
              <w:t>Entry</w:t>
            </w:r>
          </w:p>
        </w:tc>
      </w:tr>
      <w:tr>
        <w:tc>
          <w:tcPr>
            <w:tcW w:type="dxa" w:w="4802"/>
          </w:tcPr>
          <w:p>
            <w:r>
              <w:t>Outlet, date, shift and register ID</w:t>
            </w:r>
          </w:p>
        </w:tc>
        <w:tc>
          <w:tcPr>
            <w:tcW w:type="dxa" w:w="4802"/>
          </w:tcPr>
          <w:p>
            <w:r/>
          </w:p>
        </w:tc>
      </w:tr>
      <w:tr>
        <w:tc>
          <w:tcPr>
            <w:tcW w:type="dxa" w:w="4802"/>
          </w:tcPr>
          <w:p>
            <w:r>
              <w:t>Approved float and source reference</w:t>
            </w:r>
          </w:p>
        </w:tc>
        <w:tc>
          <w:tcPr>
            <w:tcW w:type="dxa" w:w="4802"/>
          </w:tcPr>
          <w:p>
            <w:r/>
          </w:p>
        </w:tc>
      </w:tr>
      <w:tr>
        <w:tc>
          <w:tcPr>
            <w:tcW w:type="dxa" w:w="4802"/>
          </w:tcPr>
          <w:p>
            <w:r>
              <w:t>Opening count and verified POS float</w:t>
            </w:r>
          </w:p>
        </w:tc>
        <w:tc>
          <w:tcPr>
            <w:tcW w:type="dxa" w:w="4802"/>
          </w:tcPr>
          <w:p>
            <w:r/>
          </w:p>
        </w:tc>
      </w:tr>
      <w:tr>
        <w:tc>
          <w:tcPr>
            <w:tcW w:type="dxa" w:w="4802"/>
          </w:tcPr>
          <w:p>
            <w:r>
              <w:t>Closing denomination record</w:t>
            </w:r>
          </w:p>
        </w:tc>
        <w:tc>
          <w:tcPr>
            <w:tcW w:type="dxa" w:w="4802"/>
          </w:tcPr>
          <w:p>
            <w:r>
              <w:t>Denomination × quantity = subtotal. Attach POS count or itemised sheet.</w:t>
            </w:r>
          </w:p>
        </w:tc>
      </w:tr>
      <w:tr>
        <w:tc>
          <w:tcPr>
            <w:tcW w:type="dxa" w:w="4802"/>
          </w:tcPr>
          <w:p>
            <w:r>
              <w:t>Physical closing cash / POS expected cash</w:t>
            </w:r>
          </w:p>
        </w:tc>
        <w:tc>
          <w:tcPr>
            <w:tcW w:type="dxa" w:w="4802"/>
          </w:tcPr>
          <w:p>
            <w:r>
              <w:t>RM __________ / RM __________</w:t>
            </w:r>
          </w:p>
        </w:tc>
      </w:tr>
      <w:tr>
        <w:tc>
          <w:tcPr>
            <w:tcW w:type="dxa" w:w="4802"/>
          </w:tcPr>
          <w:p>
            <w:r>
              <w:t>Variance (actual less expected)</w:t>
            </w:r>
          </w:p>
        </w:tc>
        <w:tc>
          <w:tcPr>
            <w:tcW w:type="dxa" w:w="4802"/>
          </w:tcPr>
          <w:p>
            <w:r>
              <w:t>RM __________</w:t>
            </w:r>
          </w:p>
        </w:tc>
      </w:tr>
      <w:tr>
        <w:tc>
          <w:tcPr>
            <w:tcW w:type="dxa" w:w="4802"/>
          </w:tcPr>
          <w:p>
            <w:r>
              <w:t>Exception reference and reviewer decision</w:t>
            </w:r>
          </w:p>
        </w:tc>
        <w:tc>
          <w:tcPr>
            <w:tcW w:type="dxa" w:w="4802"/>
          </w:tcPr>
          <w:p>
            <w:r/>
          </w:p>
        </w:tc>
      </w:tr>
      <w:tr>
        <w:tc>
          <w:tcPr>
            <w:tcW w:type="dxa" w:w="4802"/>
          </w:tcPr>
          <w:p>
            <w:r>
              <w:t>POS opening and closing references</w:t>
            </w:r>
          </w:p>
        </w:tc>
        <w:tc>
          <w:tcPr>
            <w:tcW w:type="dxa" w:w="4802"/>
          </w:tcPr>
          <w:p>
            <w:r/>
          </w:p>
        </w:tc>
      </w:tr>
      <w:tr>
        <w:tc>
          <w:tcPr>
            <w:tcW w:type="dxa" w:w="4802"/>
          </w:tcPr>
          <w:p>
            <w:r>
              <w:t>Cash custody or safe transfer reference</w:t>
            </w:r>
          </w:p>
        </w:tc>
        <w:tc>
          <w:tcPr>
            <w:tcW w:type="dxa" w:w="4802"/>
          </w:tcPr>
          <w:p>
            <w:r/>
          </w:p>
        </w:tc>
      </w:tr>
      <w:tr>
        <w:tc>
          <w:tcPr>
            <w:tcW w:type="dxa" w:w="4802"/>
          </w:tcPr>
          <w:p>
            <w:r>
              <w:t>Cashier and reviewer names, signatures and times</w:t>
            </w:r>
          </w:p>
        </w:tc>
        <w:tc>
          <w:tcPr>
            <w:tcW w:type="dxa" w:w="4802"/>
          </w:tcPr>
          <w:p>
            <w:r/>
          </w:p>
        </w:tc>
      </w:tr>
    </w:tbl>
    <w:p>
      <w:pPr>
        <w:pStyle w:val="Heading2"/>
      </w:pPr>
      <w:r>
        <w:t>Shift completion checks</w:t>
      </w:r>
    </w:p>
    <w:p>
      <w:r>
        <w:t>☐ Entrance, aisles, seating and demo area checked</w:t>
        <w:br/>
        <w:t>☐ Cleaning and display exceptions recorded</w:t>
        <w:br/>
        <w:t>☐ Approved roster and shift coverage verified</w:t>
        <w:br/>
        <w:t>☐ Open cases handed over with owners and due times</w:t>
        <w:br/>
        <w:t>☐ Cash and payment records reviewed and retained</w:t>
      </w:r>
    </w:p>
    <w:sectPr w:rsidR="00FC693F" w:rsidRPr="0006063C" w:rsidSect="00034616">
      <w:headerReference w:type="default" r:id="rId9"/>
      <w:footerReference w:type="default" r:id="rId10"/>
      <w:footerReference w:type="first" r:id="rId11"/>
      <w:footerReference w:type="even" r:id="rId12"/>
      <w:pgSz w:w="11909" w:h="16834"/>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PRO LIFE SOP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 LIFE  /  RETAIL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