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01  /  PURPOSE AND ACCOUNTABILITY</w:t>
      </w:r>
    </w:p>
    <w:p>
      <w:pPr>
        <w:pStyle w:val="Title"/>
      </w:pPr>
      <w:r>
        <w:t>Pro Life Retail Governance and Reporting SOPs</w:t>
      </w:r>
    </w:p>
    <w:p>
      <w:r>
        <w:t>This guide sets out who makes decisions, how branches report results, and how exceptions are tracked to closure. Use it alongside the Retail Service Guide, which covers customer and caregiver service.</w:t>
      </w:r>
    </w:p>
    <w:p>
      <w:pPr>
        <w:pStyle w:val="Heading2"/>
      </w:pPr>
      <w:r>
        <w:t>Assign an owner for each decision</w:t>
      </w:r>
    </w:p>
    <w:tbl>
      <w:tblPr>
        <w:tblStyle w:val="LightShading-Accent1"/>
        <w:tblW w:type="auto" w:w="0"/>
        <w:tblLook w:firstColumn="1" w:firstRow="1" w:lastColumn="0" w:lastRow="0" w:noHBand="0" w:noVBand="1" w:val="04A0"/>
      </w:tblPr>
      <w:tblGrid>
        <w:gridCol w:w="4802"/>
        <w:gridCol w:w="4802"/>
      </w:tblGrid>
      <w:tr>
        <w:tc>
          <w:tcPr>
            <w:tcW w:type="dxa" w:w="4802"/>
          </w:tcPr>
          <w:p>
            <w:pPr>
              <w:spacing w:before="80" w:after="80"/>
            </w:pPr>
            <w:r>
              <w:rPr>
                <w:b/>
                <w:sz w:val="22"/>
              </w:rPr>
              <w:t>Role</w:t>
            </w:r>
          </w:p>
        </w:tc>
        <w:tc>
          <w:tcPr>
            <w:tcW w:type="dxa" w:w="4802"/>
          </w:tcPr>
          <w:p>
            <w:pPr>
              <w:spacing w:before="80" w:after="80"/>
            </w:pPr>
            <w:r>
              <w:rPr>
                <w:b/>
                <w:sz w:val="22"/>
              </w:rPr>
              <w:t>Accountability</w:t>
            </w:r>
          </w:p>
        </w:tc>
      </w:tr>
      <w:tr>
        <w:tc>
          <w:tcPr>
            <w:tcW w:type="dxa" w:w="4802"/>
          </w:tcPr>
          <w:p>
            <w:pPr>
              <w:spacing w:before="80" w:after="80"/>
            </w:pPr>
            <w:r>
              <w:rPr>
                <w:b w:val="0"/>
                <w:sz w:val="22"/>
              </w:rPr>
              <w:t>Management sponsor</w:t>
            </w:r>
          </w:p>
        </w:tc>
        <w:tc>
          <w:tcPr>
            <w:tcW w:type="dxa" w:w="4802"/>
          </w:tcPr>
          <w:p>
            <w:pPr>
              <w:spacing w:before="80" w:after="80"/>
            </w:pPr>
            <w:r>
              <w:rPr>
                <w:b w:val="0"/>
                <w:sz w:val="22"/>
              </w:rPr>
              <w:t>Approve the SOP, authority limits and reporting deadlines. Decide escalated matters and review recurring exceptions.</w:t>
            </w:r>
          </w:p>
        </w:tc>
      </w:tr>
      <w:tr>
        <w:tc>
          <w:tcPr>
            <w:tcW w:type="dxa" w:w="4802"/>
          </w:tcPr>
          <w:p>
            <w:pPr>
              <w:spacing w:before="80" w:after="80"/>
            </w:pPr>
            <w:r>
              <w:rPr>
                <w:b w:val="0"/>
                <w:sz w:val="22"/>
              </w:rPr>
              <w:t>Retail operations lead</w:t>
            </w:r>
          </w:p>
        </w:tc>
        <w:tc>
          <w:tcPr>
            <w:tcW w:type="dxa" w:w="4802"/>
          </w:tcPr>
          <w:p>
            <w:pPr>
              <w:spacing w:before="80" w:after="80"/>
            </w:pPr>
            <w:r>
              <w:rPr>
                <w:b w:val="0"/>
                <w:sz w:val="22"/>
              </w:rPr>
              <w:t>Own the procedures and reporting definitions. Review branch reports, resolve gaps and track corrective actions.</w:t>
            </w:r>
          </w:p>
        </w:tc>
      </w:tr>
      <w:tr>
        <w:tc>
          <w:tcPr>
            <w:tcW w:type="dxa" w:w="4802"/>
          </w:tcPr>
          <w:p>
            <w:pPr>
              <w:spacing w:before="80" w:after="80"/>
            </w:pPr>
            <w:r>
              <w:rPr>
                <w:b w:val="0"/>
                <w:sz w:val="22"/>
              </w:rPr>
              <w:t>Branch lead</w:t>
            </w:r>
          </w:p>
        </w:tc>
        <w:tc>
          <w:tcPr>
            <w:tcW w:type="dxa" w:w="4802"/>
          </w:tcPr>
          <w:p>
            <w:pPr>
              <w:spacing w:before="80" w:after="80"/>
            </w:pPr>
            <w:r>
              <w:rPr>
                <w:b w:val="0"/>
                <w:sz w:val="22"/>
              </w:rPr>
              <w:t>Own daily controls, sign off branch reports and escalate exceptions. Assign cover before each shift.</w:t>
            </w:r>
          </w:p>
        </w:tc>
      </w:tr>
      <w:tr>
        <w:tc>
          <w:tcPr>
            <w:tcW w:type="dxa" w:w="4802"/>
          </w:tcPr>
          <w:p>
            <w:pPr>
              <w:spacing w:before="80" w:after="80"/>
            </w:pPr>
            <w:r>
              <w:rPr>
                <w:b w:val="0"/>
                <w:sz w:val="22"/>
              </w:rPr>
              <w:t>Finance or stock reviewer</w:t>
            </w:r>
          </w:p>
        </w:tc>
        <w:tc>
          <w:tcPr>
            <w:tcW w:type="dxa" w:w="4802"/>
          </w:tcPr>
          <w:p>
            <w:pPr>
              <w:spacing w:before="80" w:after="80"/>
            </w:pPr>
            <w:r>
              <w:rPr>
                <w:b w:val="0"/>
                <w:sz w:val="22"/>
              </w:rPr>
              <w:t>Reconcile financial or stock figures against source records. Review exceptions independently of the person who raised them.</w:t>
            </w:r>
          </w:p>
        </w:tc>
      </w:tr>
      <w:tr>
        <w:tc>
          <w:tcPr>
            <w:tcW w:type="dxa" w:w="4802"/>
          </w:tcPr>
          <w:p>
            <w:pPr>
              <w:spacing w:before="80" w:after="80"/>
            </w:pPr>
            <w:r>
              <w:rPr>
                <w:b w:val="0"/>
                <w:sz w:val="22"/>
              </w:rPr>
              <w:t>Shift staff</w:t>
            </w:r>
          </w:p>
        </w:tc>
        <w:tc>
          <w:tcPr>
            <w:tcW w:type="dxa" w:w="4802"/>
          </w:tcPr>
          <w:p>
            <w:pPr>
              <w:spacing w:before="80" w:after="80"/>
            </w:pPr>
            <w:r>
              <w:rPr>
                <w:b w:val="0"/>
                <w:sz w:val="22"/>
              </w:rPr>
              <w:t>Record transactions and exceptions as they occur. Hand over open items with an owner and next action.</w:t>
            </w:r>
          </w:p>
        </w:tc>
      </w:tr>
    </w:tbl>
    <w:p>
      <w:pPr>
        <w:pStyle w:val="Heading2"/>
      </w:pPr>
      <w:r>
        <w:t>Control the document</w:t>
      </w:r>
    </w:p>
    <w:p>
      <w:r>
        <w:t>The operations lead maintains the approved master and change log. Record version, owner, approver and effective date on each revision. Publish the approved version to the staff portal after sign-off and retain prior versions in the archive.</w:t>
      </w:r>
    </w:p>
    <w:p>
      <w:r>
        <w:br w:type="page"/>
      </w:r>
    </w:p>
    <w:p>
      <w:r>
        <w:t>02  /  SOP 01</w:t>
      </w:r>
    </w:p>
    <w:p>
      <w:pPr>
        <w:pStyle w:val="Heading1"/>
      </w:pPr>
      <w:r>
        <w:t>Approvals and exceptions</w:t>
      </w:r>
    </w:p>
    <w:p>
      <w:r>
        <w:t>Check the approved authority register before committing company money, changing stock or making a commercial promise outside normal terms.</w:t>
      </w:r>
    </w:p>
    <w:tbl>
      <w:tblPr>
        <w:tblStyle w:val="LightShading-Accent1"/>
        <w:tblW w:type="auto" w:w="0"/>
        <w:tblLook w:firstColumn="1" w:firstRow="1" w:lastColumn="0" w:lastRow="0" w:noHBand="0" w:noVBand="1" w:val="04A0"/>
      </w:tblPr>
      <w:tblGrid>
        <w:gridCol w:w="4802"/>
        <w:gridCol w:w="4802"/>
      </w:tblGrid>
      <w:tr>
        <w:tc>
          <w:tcPr>
            <w:tcW w:type="dxa" w:w="4802"/>
          </w:tcPr>
          <w:p>
            <w:pPr>
              <w:spacing w:before="80" w:after="80"/>
            </w:pPr>
            <w:r>
              <w:rPr>
                <w:b/>
                <w:sz w:val="22"/>
              </w:rPr>
              <w:t>Decision</w:t>
            </w:r>
          </w:p>
        </w:tc>
        <w:tc>
          <w:tcPr>
            <w:tcW w:type="dxa" w:w="4802"/>
          </w:tcPr>
          <w:p>
            <w:pPr>
              <w:spacing w:before="80" w:after="80"/>
            </w:pPr>
            <w:r>
              <w:rPr>
                <w:b/>
                <w:sz w:val="22"/>
              </w:rPr>
              <w:t>Evidence before approval</w:t>
            </w:r>
          </w:p>
        </w:tc>
      </w:tr>
      <w:tr>
        <w:tc>
          <w:tcPr>
            <w:tcW w:type="dxa" w:w="4802"/>
          </w:tcPr>
          <w:p>
            <w:pPr>
              <w:spacing w:before="80" w:after="80"/>
            </w:pPr>
            <w:r>
              <w:rPr>
                <w:b w:val="0"/>
                <w:sz w:val="22"/>
              </w:rPr>
              <w:t>Discount or price override</w:t>
            </w:r>
          </w:p>
        </w:tc>
        <w:tc>
          <w:tcPr>
            <w:tcW w:type="dxa" w:w="4802"/>
          </w:tcPr>
          <w:p>
            <w:pPr>
              <w:spacing w:before="80" w:after="80"/>
            </w:pPr>
            <w:r>
              <w:rPr>
                <w:b w:val="0"/>
                <w:sz w:val="22"/>
              </w:rPr>
              <w:t>SKU, original and proposed price, reason and approving authority.</w:t>
            </w:r>
          </w:p>
        </w:tc>
      </w:tr>
      <w:tr>
        <w:tc>
          <w:tcPr>
            <w:tcW w:type="dxa" w:w="4802"/>
          </w:tcPr>
          <w:p>
            <w:pPr>
              <w:spacing w:before="80" w:after="80"/>
            </w:pPr>
            <w:r>
              <w:rPr>
                <w:b w:val="0"/>
                <w:sz w:val="22"/>
              </w:rPr>
              <w:t>Refund or exchange exception</w:t>
            </w:r>
          </w:p>
        </w:tc>
        <w:tc>
          <w:tcPr>
            <w:tcW w:type="dxa" w:w="4802"/>
          </w:tcPr>
          <w:p>
            <w:pPr>
              <w:spacing w:before="80" w:after="80"/>
            </w:pPr>
            <w:r>
              <w:rPr>
                <w:b w:val="0"/>
                <w:sz w:val="22"/>
              </w:rPr>
              <w:t>Receipt or transaction reference, item condition, reason and proposed resolution.</w:t>
            </w:r>
          </w:p>
        </w:tc>
      </w:tr>
      <w:tr>
        <w:tc>
          <w:tcPr>
            <w:tcW w:type="dxa" w:w="4802"/>
          </w:tcPr>
          <w:p>
            <w:pPr>
              <w:spacing w:before="80" w:after="80"/>
            </w:pPr>
            <w:r>
              <w:rPr>
                <w:b w:val="0"/>
                <w:sz w:val="22"/>
              </w:rPr>
              <w:t>Stock adjustment or write-off</w:t>
            </w:r>
          </w:p>
        </w:tc>
        <w:tc>
          <w:tcPr>
            <w:tcW w:type="dxa" w:w="4802"/>
          </w:tcPr>
          <w:p>
            <w:pPr>
              <w:spacing w:before="80" w:after="80"/>
            </w:pPr>
            <w:r>
              <w:rPr>
                <w:b w:val="0"/>
                <w:sz w:val="22"/>
              </w:rPr>
              <w:t>SKU, quantity, variance reason, recount or supporting evidence and reviewer.</w:t>
            </w:r>
          </w:p>
        </w:tc>
      </w:tr>
      <w:tr>
        <w:tc>
          <w:tcPr>
            <w:tcW w:type="dxa" w:w="4802"/>
          </w:tcPr>
          <w:p>
            <w:pPr>
              <w:spacing w:before="80" w:after="80"/>
            </w:pPr>
            <w:r>
              <w:rPr>
                <w:b w:val="0"/>
                <w:sz w:val="22"/>
              </w:rPr>
              <w:t>Purchase or supplier commitment</w:t>
            </w:r>
          </w:p>
        </w:tc>
        <w:tc>
          <w:tcPr>
            <w:tcW w:type="dxa" w:w="4802"/>
          </w:tcPr>
          <w:p>
            <w:pPr>
              <w:spacing w:before="80" w:after="80"/>
            </w:pPr>
            <w:r>
              <w:rPr>
                <w:b w:val="0"/>
                <w:sz w:val="22"/>
              </w:rPr>
              <w:t>Supplier, cost, business reason and any conflict of interest. Refer to the delegated purchaser.</w:t>
            </w:r>
          </w:p>
        </w:tc>
      </w:tr>
      <w:tr>
        <w:tc>
          <w:tcPr>
            <w:tcW w:type="dxa" w:w="4802"/>
          </w:tcPr>
          <w:p>
            <w:pPr>
              <w:spacing w:before="80" w:after="80"/>
            </w:pPr>
            <w:r>
              <w:rPr>
                <w:b w:val="0"/>
                <w:sz w:val="22"/>
              </w:rPr>
              <w:t>Nonstandard delivery or service promise</w:t>
            </w:r>
          </w:p>
        </w:tc>
        <w:tc>
          <w:tcPr>
            <w:tcW w:type="dxa" w:w="4802"/>
          </w:tcPr>
          <w:p>
            <w:pPr>
              <w:spacing w:before="80" w:after="80"/>
            </w:pPr>
            <w:r>
              <w:rPr>
                <w:b w:val="0"/>
                <w:sz w:val="22"/>
              </w:rPr>
              <w:t>Customer commitment, cost or capacity impact and owner responsible for fulfilment.</w:t>
            </w:r>
          </w:p>
        </w:tc>
      </w:tr>
    </w:tbl>
    <w:p>
      <w:pPr>
        <w:pStyle w:val="Heading2"/>
      </w:pPr>
      <w:r>
        <w:t>Approval workflow</w:t>
      </w:r>
    </w:p>
    <w:p>
      <w:r>
        <w:t>1. Staff log the request and evidence.  2. An authorised reviewer approves, declines or escalates it.  3. Staff record the approval reference before processing.  4. The branch lead checks closure.</w:t>
      </w:r>
    </w:p>
    <w:p>
      <w:r>
        <w:t>Use a separate approver for exceptions. If the approver is unavailable, use the designated alternate. Declare personal interests in supplier or customer decisions and pass the decision to another authorised person.</w:t>
      </w:r>
    </w:p>
    <w:p>
      <w:r>
        <w:t>Minimum register fields: request ID, branch, date, decision type, amount or quantity, reason, evidence reference, requester, approver, outcome and completion date.</w:t>
      </w:r>
    </w:p>
    <w:p>
      <w:r>
        <w:br w:type="page"/>
      </w:r>
    </w:p>
    <w:p>
      <w:r>
        <w:t>03  /  SOP 02</w:t>
      </w:r>
    </w:p>
    <w:p>
      <w:pPr>
        <w:pStyle w:val="Heading1"/>
      </w:pPr>
      <w:r>
        <w:t>Daily sales and stock controls</w:t>
      </w:r>
    </w:p>
    <w:tbl>
      <w:tblPr>
        <w:tblStyle w:val="LightShading-Accent1"/>
        <w:tblW w:type="auto" w:w="0"/>
        <w:tblLook w:firstColumn="1" w:firstRow="1" w:lastColumn="0" w:lastRow="0" w:noHBand="0" w:noVBand="1" w:val="04A0"/>
      </w:tblPr>
      <w:tblGrid>
        <w:gridCol w:w="4802"/>
        <w:gridCol w:w="4802"/>
      </w:tblGrid>
      <w:tr>
        <w:tc>
          <w:tcPr>
            <w:tcW w:type="dxa" w:w="4802"/>
          </w:tcPr>
          <w:p>
            <w:pPr>
              <w:spacing w:before="80" w:after="80"/>
            </w:pPr>
            <w:r>
              <w:rPr>
                <w:b/>
                <w:sz w:val="22"/>
              </w:rPr>
              <w:t>Control</w:t>
            </w:r>
          </w:p>
        </w:tc>
        <w:tc>
          <w:tcPr>
            <w:tcW w:type="dxa" w:w="4802"/>
          </w:tcPr>
          <w:p>
            <w:pPr>
              <w:spacing w:before="80" w:after="80"/>
            </w:pPr>
            <w:r>
              <w:rPr>
                <w:b/>
                <w:sz w:val="22"/>
              </w:rPr>
              <w:t>Required action</w:t>
            </w:r>
          </w:p>
        </w:tc>
      </w:tr>
      <w:tr>
        <w:tc>
          <w:tcPr>
            <w:tcW w:type="dxa" w:w="4802"/>
          </w:tcPr>
          <w:p>
            <w:pPr>
              <w:spacing w:before="80" w:after="80"/>
            </w:pPr>
            <w:r>
              <w:rPr>
                <w:b w:val="0"/>
                <w:sz w:val="22"/>
              </w:rPr>
              <w:t>Sales and settlement</w:t>
            </w:r>
          </w:p>
        </w:tc>
        <w:tc>
          <w:tcPr>
            <w:tcW w:type="dxa" w:w="4802"/>
          </w:tcPr>
          <w:p>
            <w:pPr>
              <w:spacing w:before="80" w:after="80"/>
            </w:pPr>
            <w:r>
              <w:rPr>
                <w:b w:val="0"/>
                <w:sz w:val="22"/>
              </w:rPr>
              <w:t>At close, compare POS totals by payment method with cash counted, card settlement and recorded transfers. Note timing differences separately from unexplained variances.</w:t>
            </w:r>
          </w:p>
        </w:tc>
      </w:tr>
      <w:tr>
        <w:tc>
          <w:tcPr>
            <w:tcW w:type="dxa" w:w="4802"/>
          </w:tcPr>
          <w:p>
            <w:pPr>
              <w:spacing w:before="80" w:after="80"/>
            </w:pPr>
            <w:r>
              <w:rPr>
                <w:b w:val="0"/>
                <w:sz w:val="22"/>
              </w:rPr>
              <w:t>Refunds and voids</w:t>
            </w:r>
          </w:p>
        </w:tc>
        <w:tc>
          <w:tcPr>
            <w:tcW w:type="dxa" w:w="4802"/>
          </w:tcPr>
          <w:p>
            <w:pPr>
              <w:spacing w:before="80" w:after="80"/>
            </w:pPr>
            <w:r>
              <w:rPr>
                <w:b w:val="0"/>
                <w:sz w:val="22"/>
              </w:rPr>
              <w:t>Match exceptions to their original transaction and approval. Record any missing approval for review.</w:t>
            </w:r>
          </w:p>
        </w:tc>
      </w:tr>
      <w:tr>
        <w:tc>
          <w:tcPr>
            <w:tcW w:type="dxa" w:w="4802"/>
          </w:tcPr>
          <w:p>
            <w:pPr>
              <w:spacing w:before="80" w:after="80"/>
            </w:pPr>
            <w:r>
              <w:rPr>
                <w:b w:val="0"/>
                <w:sz w:val="22"/>
              </w:rPr>
              <w:t>Stock received</w:t>
            </w:r>
          </w:p>
        </w:tc>
        <w:tc>
          <w:tcPr>
            <w:tcW w:type="dxa" w:w="4802"/>
          </w:tcPr>
          <w:p>
            <w:pPr>
              <w:spacing w:before="80" w:after="80"/>
            </w:pPr>
            <w:r>
              <w:rPr>
                <w:b w:val="0"/>
                <w:sz w:val="22"/>
              </w:rPr>
              <w:t>Match quantity and condition against the delivery note and purchase or transfer reference. Record shortages or damage before accepting stock into available inventory.</w:t>
            </w:r>
          </w:p>
        </w:tc>
      </w:tr>
      <w:tr>
        <w:tc>
          <w:tcPr>
            <w:tcW w:type="dxa" w:w="4802"/>
          </w:tcPr>
          <w:p>
            <w:pPr>
              <w:spacing w:before="80" w:after="80"/>
            </w:pPr>
            <w:r>
              <w:rPr>
                <w:b w:val="0"/>
                <w:sz w:val="22"/>
              </w:rPr>
              <w:t>Stock movement</w:t>
            </w:r>
          </w:p>
        </w:tc>
        <w:tc>
          <w:tcPr>
            <w:tcW w:type="dxa" w:w="4802"/>
          </w:tcPr>
          <w:p>
            <w:pPr>
              <w:spacing w:before="80" w:after="80"/>
            </w:pPr>
            <w:r>
              <w:rPr>
                <w:b w:val="0"/>
                <w:sz w:val="22"/>
              </w:rPr>
              <w:t>Log transfers, returns and adjustments against the SKU. Capture serial or batch references where the product and system require them.</w:t>
            </w:r>
          </w:p>
        </w:tc>
      </w:tr>
      <w:tr>
        <w:tc>
          <w:tcPr>
            <w:tcW w:type="dxa" w:w="4802"/>
          </w:tcPr>
          <w:p>
            <w:pPr>
              <w:spacing w:before="80" w:after="80"/>
            </w:pPr>
            <w:r>
              <w:rPr>
                <w:b w:val="0"/>
                <w:sz w:val="22"/>
              </w:rPr>
              <w:t>Shift handover</w:t>
            </w:r>
          </w:p>
        </w:tc>
        <w:tc>
          <w:tcPr>
            <w:tcW w:type="dxa" w:w="4802"/>
          </w:tcPr>
          <w:p>
            <w:pPr>
              <w:spacing w:before="80" w:after="80"/>
            </w:pPr>
            <w:r>
              <w:rPr>
                <w:b w:val="0"/>
                <w:sz w:val="22"/>
              </w:rPr>
              <w:t>List outstanding deliveries, quotes, callbacks, stock discrepancies and service cases. Assign each item one owner and one due time.</w:t>
            </w:r>
          </w:p>
        </w:tc>
      </w:tr>
    </w:tbl>
    <w:p>
      <w:pPr>
        <w:pStyle w:val="Heading2"/>
      </w:pPr>
      <w:r>
        <w:t>Close and review</w:t>
      </w:r>
    </w:p>
    <w:p>
      <w:r>
        <w:t>The closing staff member prepares the daily record. The branch lead reviews it by the next working day. Where staffing prevents an independent check at close, the designated reviewer completes the review on the next working day.</w:t>
      </w:r>
    </w:p>
    <w:p>
      <w:r>
        <w:t>Record discrepancies with their source references and a next action. Keep the original entry and record corrections separately with the reason, date and reviewer.</w:t>
      </w:r>
    </w:p>
    <w:p>
      <w:r>
        <w:br w:type="page"/>
      </w:r>
    </w:p>
    <w:p>
      <w:r>
        <w:t>04  /  SOP 03</w:t>
      </w:r>
    </w:p>
    <w:p>
      <w:pPr>
        <w:pStyle w:val="Heading1"/>
      </w:pPr>
      <w:r>
        <w:t>Branch reporting standards</w:t>
      </w:r>
    </w:p>
    <w:tbl>
      <w:tblPr>
        <w:tblStyle w:val="LightShading-Accent1"/>
        <w:tblW w:type="auto" w:w="0"/>
        <w:tblLook w:firstColumn="1" w:firstRow="1" w:lastColumn="0" w:lastRow="0" w:noHBand="0" w:noVBand="1" w:val="04A0"/>
      </w:tblPr>
      <w:tblGrid>
        <w:gridCol w:w="4802"/>
        <w:gridCol w:w="4802"/>
      </w:tblGrid>
      <w:tr>
        <w:tc>
          <w:tcPr>
            <w:tcW w:type="dxa" w:w="4802"/>
          </w:tcPr>
          <w:p>
            <w:pPr>
              <w:spacing w:before="80" w:after="80"/>
            </w:pPr>
            <w:r>
              <w:rPr>
                <w:b/>
                <w:sz w:val="22"/>
              </w:rPr>
              <w:t>Cadence</w:t>
            </w:r>
          </w:p>
        </w:tc>
        <w:tc>
          <w:tcPr>
            <w:tcW w:type="dxa" w:w="4802"/>
          </w:tcPr>
          <w:p>
            <w:pPr>
              <w:spacing w:before="80" w:after="80"/>
            </w:pPr>
            <w:r>
              <w:rPr>
                <w:b/>
                <w:sz w:val="22"/>
              </w:rPr>
              <w:t>Report and timing</w:t>
            </w:r>
          </w:p>
        </w:tc>
      </w:tr>
      <w:tr>
        <w:tc>
          <w:tcPr>
            <w:tcW w:type="dxa" w:w="4802"/>
          </w:tcPr>
          <w:p>
            <w:pPr>
              <w:spacing w:before="80" w:after="80"/>
            </w:pPr>
            <w:r>
              <w:rPr>
                <w:b w:val="0"/>
                <w:sz w:val="22"/>
              </w:rPr>
              <w:t>Daily</w:t>
            </w:r>
          </w:p>
        </w:tc>
        <w:tc>
          <w:tcPr>
            <w:tcW w:type="dxa" w:w="4802"/>
          </w:tcPr>
          <w:p>
            <w:pPr>
              <w:spacing w:before="80" w:after="80"/>
            </w:pPr>
            <w:r>
              <w:rPr>
                <w:b w:val="0"/>
                <w:sz w:val="22"/>
              </w:rPr>
              <w:t>Branch lead submits the close record by the next working day. Include net sales, refunds, payment variances, stock exceptions and urgent open actions.</w:t>
            </w:r>
          </w:p>
        </w:tc>
      </w:tr>
      <w:tr>
        <w:tc>
          <w:tcPr>
            <w:tcW w:type="dxa" w:w="4802"/>
          </w:tcPr>
          <w:p>
            <w:pPr>
              <w:spacing w:before="80" w:after="80"/>
            </w:pPr>
            <w:r>
              <w:rPr>
                <w:b w:val="0"/>
                <w:sz w:val="22"/>
              </w:rPr>
              <w:t>Weekly</w:t>
            </w:r>
          </w:p>
        </w:tc>
        <w:tc>
          <w:tcPr>
            <w:tcW w:type="dxa" w:w="4802"/>
          </w:tcPr>
          <w:p>
            <w:pPr>
              <w:spacing w:before="80" w:after="80"/>
            </w:pPr>
            <w:r>
              <w:rPr>
                <w:b w:val="0"/>
                <w:sz w:val="22"/>
              </w:rPr>
              <w:t>Branch lead submits a one-page summary on the first working day after week-end. Include sales against target, open quotes and deliveries, stock concerns and decisions needed.</w:t>
            </w:r>
          </w:p>
        </w:tc>
      </w:tr>
      <w:tr>
        <w:tc>
          <w:tcPr>
            <w:tcW w:type="dxa" w:w="4802"/>
          </w:tcPr>
          <w:p>
            <w:pPr>
              <w:spacing w:before="80" w:after="80"/>
            </w:pPr>
            <w:r>
              <w:rPr>
                <w:b w:val="0"/>
                <w:sz w:val="22"/>
              </w:rPr>
              <w:t>Monthly</w:t>
            </w:r>
          </w:p>
        </w:tc>
        <w:tc>
          <w:tcPr>
            <w:tcW w:type="dxa" w:w="4802"/>
          </w:tcPr>
          <w:p>
            <w:pPr>
              <w:spacing w:before="80" w:after="80"/>
            </w:pPr>
            <w:r>
              <w:rPr>
                <w:b w:val="0"/>
                <w:sz w:val="22"/>
              </w:rPr>
              <w:t>Retail operations consolidates branch reports. Finance reviews sales and stock figures before management reviews results and assigns actions.</w:t>
            </w:r>
          </w:p>
        </w:tc>
      </w:tr>
    </w:tbl>
    <w:p>
      <w:pPr>
        <w:pStyle w:val="Heading2"/>
      </w:pPr>
      <w:r>
        <w:t>Use consistent figures</w:t>
      </w:r>
    </w:p>
    <w:tbl>
      <w:tblPr>
        <w:tblStyle w:val="LightShading-Accent1"/>
        <w:tblW w:type="auto" w:w="0"/>
        <w:tblLook w:firstColumn="1" w:firstRow="1" w:lastColumn="0" w:lastRow="0" w:noHBand="0" w:noVBand="1" w:val="04A0"/>
      </w:tblPr>
      <w:tblGrid>
        <w:gridCol w:w="4802"/>
        <w:gridCol w:w="4802"/>
      </w:tblGrid>
      <w:tr>
        <w:tc>
          <w:tcPr>
            <w:tcW w:type="dxa" w:w="4802"/>
          </w:tcPr>
          <w:p>
            <w:pPr>
              <w:spacing w:before="80" w:after="80"/>
            </w:pPr>
            <w:r>
              <w:rPr>
                <w:b/>
                <w:sz w:val="22"/>
              </w:rPr>
              <w:t>Measure</w:t>
            </w:r>
          </w:p>
        </w:tc>
        <w:tc>
          <w:tcPr>
            <w:tcW w:type="dxa" w:w="4802"/>
          </w:tcPr>
          <w:p>
            <w:pPr>
              <w:spacing w:before="80" w:after="80"/>
            </w:pPr>
            <w:r>
              <w:rPr>
                <w:b/>
                <w:sz w:val="22"/>
              </w:rPr>
              <w:t>Reporting rule</w:t>
            </w:r>
          </w:p>
        </w:tc>
      </w:tr>
      <w:tr>
        <w:tc>
          <w:tcPr>
            <w:tcW w:type="dxa" w:w="4802"/>
          </w:tcPr>
          <w:p>
            <w:pPr>
              <w:spacing w:before="80" w:after="80"/>
            </w:pPr>
            <w:r>
              <w:rPr>
                <w:b w:val="0"/>
                <w:sz w:val="22"/>
              </w:rPr>
              <w:t>Net sales</w:t>
            </w:r>
          </w:p>
        </w:tc>
        <w:tc>
          <w:tcPr>
            <w:tcW w:type="dxa" w:w="4802"/>
          </w:tcPr>
          <w:p>
            <w:pPr>
              <w:spacing w:before="80" w:after="80"/>
            </w:pPr>
            <w:r>
              <w:rPr>
                <w:b w:val="0"/>
                <w:sz w:val="22"/>
              </w:rPr>
              <w:t>Use the POS net sales figure and document its treatment of discounts, refunds and tax. Use the same basis for targets and prior-period comparisons.</w:t>
            </w:r>
          </w:p>
        </w:tc>
      </w:tr>
      <w:tr>
        <w:tc>
          <w:tcPr>
            <w:tcW w:type="dxa" w:w="4802"/>
          </w:tcPr>
          <w:p>
            <w:pPr>
              <w:spacing w:before="80" w:after="80"/>
            </w:pPr>
            <w:r>
              <w:rPr>
                <w:b w:val="0"/>
                <w:sz w:val="22"/>
              </w:rPr>
              <w:t>Sales against target</w:t>
            </w:r>
          </w:p>
        </w:tc>
        <w:tc>
          <w:tcPr>
            <w:tcW w:type="dxa" w:w="4802"/>
          </w:tcPr>
          <w:p>
            <w:pPr>
              <w:spacing w:before="80" w:after="80"/>
            </w:pPr>
            <w:r>
              <w:rPr>
                <w:b w:val="0"/>
                <w:sz w:val="22"/>
              </w:rPr>
              <w:t>Net sales divided by target. Show the ringgit gap alongside the percentage. Use N/A where no target exists.</w:t>
            </w:r>
          </w:p>
        </w:tc>
      </w:tr>
      <w:tr>
        <w:tc>
          <w:tcPr>
            <w:tcW w:type="dxa" w:w="4802"/>
          </w:tcPr>
          <w:p>
            <w:pPr>
              <w:spacing w:before="80" w:after="80"/>
            </w:pPr>
            <w:r>
              <w:rPr>
                <w:b w:val="0"/>
                <w:sz w:val="22"/>
              </w:rPr>
              <w:t>Stock variance</w:t>
            </w:r>
          </w:p>
        </w:tc>
        <w:tc>
          <w:tcPr>
            <w:tcW w:type="dxa" w:w="4802"/>
          </w:tcPr>
          <w:p>
            <w:pPr>
              <w:spacing w:before="80" w:after="80"/>
            </w:pPr>
            <w:r>
              <w:rPr>
                <w:b w:val="0"/>
                <w:sz w:val="22"/>
              </w:rPr>
              <w:t>Counted quantity less system quantity at the same cutoff. Show SKU, units and value where a verified cost is available.</w:t>
            </w:r>
          </w:p>
        </w:tc>
      </w:tr>
      <w:tr>
        <w:tc>
          <w:tcPr>
            <w:tcW w:type="dxa" w:w="4802"/>
          </w:tcPr>
          <w:p>
            <w:pPr>
              <w:spacing w:before="80" w:after="80"/>
            </w:pPr>
            <w:r>
              <w:rPr>
                <w:b w:val="0"/>
                <w:sz w:val="22"/>
              </w:rPr>
              <w:t>Overdue cases</w:t>
            </w:r>
          </w:p>
        </w:tc>
        <w:tc>
          <w:tcPr>
            <w:tcW w:type="dxa" w:w="4802"/>
          </w:tcPr>
          <w:p>
            <w:pPr>
              <w:spacing w:before="80" w:after="80"/>
            </w:pPr>
            <w:r>
              <w:rPr>
                <w:b w:val="0"/>
                <w:sz w:val="22"/>
              </w:rPr>
              <w:t>Open items past their agreed update or completion time at the report cutoff.</w:t>
            </w:r>
          </w:p>
        </w:tc>
      </w:tr>
    </w:tbl>
    <w:p>
      <w:r>
        <w:t>Label every report with branch, period, cutoff, preparer, reviewer and source. Put an owner and due date against each action. Use zero for a verified nil result and mark unavailable figures as pending with an owner.</w:t>
      </w:r>
    </w:p>
    <w:p>
      <w:r>
        <w:br w:type="page"/>
      </w:r>
    </w:p>
    <w:p>
      <w:r>
        <w:t>05  /  SOP 04</w:t>
      </w:r>
    </w:p>
    <w:p>
      <w:pPr>
        <w:pStyle w:val="Heading1"/>
      </w:pPr>
      <w:r>
        <w:t>Incident escalation and review</w:t>
      </w:r>
    </w:p>
    <w:tbl>
      <w:tblPr>
        <w:tblStyle w:val="LightShading-Accent1"/>
        <w:tblW w:type="auto" w:w="0"/>
        <w:tblLook w:firstColumn="1" w:firstRow="1" w:lastColumn="0" w:lastRow="0" w:noHBand="0" w:noVBand="1" w:val="04A0"/>
      </w:tblPr>
      <w:tblGrid>
        <w:gridCol w:w="4802"/>
        <w:gridCol w:w="4802"/>
      </w:tblGrid>
      <w:tr>
        <w:tc>
          <w:tcPr>
            <w:tcW w:type="dxa" w:w="4802"/>
          </w:tcPr>
          <w:p>
            <w:pPr>
              <w:spacing w:before="80" w:after="80"/>
            </w:pPr>
            <w:r>
              <w:rPr>
                <w:b/>
                <w:sz w:val="22"/>
              </w:rPr>
              <w:t>Priority</w:t>
            </w:r>
          </w:p>
        </w:tc>
        <w:tc>
          <w:tcPr>
            <w:tcW w:type="dxa" w:w="4802"/>
          </w:tcPr>
          <w:p>
            <w:pPr>
              <w:spacing w:before="80" w:after="80"/>
            </w:pPr>
            <w:r>
              <w:rPr>
                <w:b/>
                <w:sz w:val="22"/>
              </w:rPr>
              <w:t>Staff response</w:t>
            </w:r>
          </w:p>
        </w:tc>
      </w:tr>
      <w:tr>
        <w:tc>
          <w:tcPr>
            <w:tcW w:type="dxa" w:w="4802"/>
          </w:tcPr>
          <w:p>
            <w:pPr>
              <w:spacing w:before="80" w:after="80"/>
            </w:pPr>
            <w:r>
              <w:rPr>
                <w:b w:val="0"/>
                <w:sz w:val="22"/>
              </w:rPr>
              <w:t>Immediate</w:t>
            </w:r>
          </w:p>
        </w:tc>
        <w:tc>
          <w:tcPr>
            <w:tcW w:type="dxa" w:w="4802"/>
          </w:tcPr>
          <w:p>
            <w:pPr>
              <w:spacing w:before="80" w:after="80"/>
            </w:pPr>
            <w:r>
              <w:rPr>
                <w:b w:val="0"/>
                <w:sz w:val="22"/>
              </w:rPr>
              <w:t>For a serious safety concern, suspected fraud, missing cash or exposure of customer information, contact the branch lead and designated escalation owner promptly. Preserve relevant records. Set affected equipment aside where applicable.</w:t>
            </w:r>
          </w:p>
        </w:tc>
      </w:tr>
      <w:tr>
        <w:tc>
          <w:tcPr>
            <w:tcW w:type="dxa" w:w="4802"/>
          </w:tcPr>
          <w:p>
            <w:pPr>
              <w:spacing w:before="80" w:after="80"/>
            </w:pPr>
            <w:r>
              <w:rPr>
                <w:b w:val="0"/>
                <w:sz w:val="22"/>
              </w:rPr>
              <w:t>Same working day</w:t>
            </w:r>
          </w:p>
        </w:tc>
        <w:tc>
          <w:tcPr>
            <w:tcW w:type="dxa" w:w="4802"/>
          </w:tcPr>
          <w:p>
            <w:pPr>
              <w:spacing w:before="80" w:after="80"/>
            </w:pPr>
            <w:r>
              <w:rPr>
                <w:b w:val="0"/>
                <w:sz w:val="22"/>
              </w:rPr>
              <w:t>For a material stock discrepancy, failed delivery or unresolved customer complaint, log the facts, assign an owner and agree on the next update.</w:t>
            </w:r>
          </w:p>
        </w:tc>
      </w:tr>
      <w:tr>
        <w:tc>
          <w:tcPr>
            <w:tcW w:type="dxa" w:w="4802"/>
          </w:tcPr>
          <w:p>
            <w:pPr>
              <w:spacing w:before="80" w:after="80"/>
            </w:pPr>
            <w:r>
              <w:rPr>
                <w:b w:val="0"/>
                <w:sz w:val="22"/>
              </w:rPr>
              <w:t>Routine</w:t>
            </w:r>
          </w:p>
        </w:tc>
        <w:tc>
          <w:tcPr>
            <w:tcW w:type="dxa" w:w="4802"/>
          </w:tcPr>
          <w:p>
            <w:pPr>
              <w:spacing w:before="80" w:after="80"/>
            </w:pPr>
            <w:r>
              <w:rPr>
                <w:b w:val="0"/>
                <w:sz w:val="22"/>
              </w:rPr>
              <w:t>Track minor issues in the branch log. Review repeated issues in the weekly meeting and assign corrective action.</w:t>
            </w:r>
          </w:p>
        </w:tc>
      </w:tr>
    </w:tbl>
    <w:p>
      <w:pPr>
        <w:pStyle w:val="Heading2"/>
      </w:pPr>
      <w:r>
        <w:t>Close the action with evidence</w:t>
      </w:r>
    </w:p>
    <w:p>
      <w:r>
        <w:t>Record what happened, the immediate response, the person responsible and the due date. The reviewer checks the evidence of resolution before closing. Management reviews recurring issues and assigns a change to the process, training or reporting where needed.</w:t>
      </w:r>
    </w:p>
    <w:p>
      <w:pPr>
        <w:pStyle w:val="Heading2"/>
      </w:pPr>
      <w:r>
        <w:t>Management responsibilities</w:t>
      </w:r>
    </w:p>
    <w:tbl>
      <w:tblPr>
        <w:tblStyle w:val="LightShading-Accent1"/>
        <w:tblW w:type="auto" w:w="0"/>
        <w:tblLook w:firstColumn="1" w:firstRow="1" w:lastColumn="0" w:lastRow="0" w:noHBand="0" w:noVBand="1" w:val="04A0"/>
      </w:tblPr>
      <w:tblGrid>
        <w:gridCol w:w="4802"/>
        <w:gridCol w:w="4802"/>
      </w:tblGrid>
      <w:tr>
        <w:tc>
          <w:tcPr>
            <w:tcW w:type="dxa" w:w="4802"/>
          </w:tcPr>
          <w:p>
            <w:pPr>
              <w:spacing w:before="80" w:after="80"/>
            </w:pPr>
            <w:r>
              <w:rPr>
                <w:b/>
                <w:sz w:val="22"/>
              </w:rPr>
              <w:t>Confirm</w:t>
            </w:r>
          </w:p>
        </w:tc>
        <w:tc>
          <w:tcPr>
            <w:tcW w:type="dxa" w:w="4802"/>
          </w:tcPr>
          <w:p>
            <w:pPr>
              <w:spacing w:before="80" w:after="80"/>
            </w:pPr>
            <w:r>
              <w:rPr>
                <w:b/>
                <w:sz w:val="22"/>
              </w:rPr>
              <w:t>Management entry</w:t>
            </w:r>
          </w:p>
        </w:tc>
      </w:tr>
      <w:tr>
        <w:tc>
          <w:tcPr>
            <w:tcW w:type="dxa" w:w="4802"/>
          </w:tcPr>
          <w:p>
            <w:pPr>
              <w:spacing w:before="80" w:after="80"/>
            </w:pPr>
            <w:r>
              <w:rPr>
                <w:b w:val="0"/>
                <w:sz w:val="22"/>
              </w:rPr>
              <w:t>Outlet and effective date</w:t>
            </w:r>
          </w:p>
        </w:tc>
        <w:tc>
          <w:tcPr>
            <w:tcW w:type="dxa" w:w="4802"/>
          </w:tcPr>
          <w:p>
            <w:pPr>
              <w:spacing w:before="80" w:after="80"/>
            </w:pPr>
            <w:r>
              <w:rPr>
                <w:b w:val="0"/>
                <w:sz w:val="22"/>
              </w:rPr>
              <w:t>________________________________</w:t>
            </w:r>
          </w:p>
        </w:tc>
      </w:tr>
      <w:tr>
        <w:tc>
          <w:tcPr>
            <w:tcW w:type="dxa" w:w="4802"/>
          </w:tcPr>
          <w:p>
            <w:pPr>
              <w:spacing w:before="80" w:after="80"/>
            </w:pPr>
            <w:r>
              <w:rPr>
                <w:b w:val="0"/>
                <w:sz w:val="22"/>
              </w:rPr>
              <w:t>Named owners and alternates</w:t>
            </w:r>
          </w:p>
        </w:tc>
        <w:tc>
          <w:tcPr>
            <w:tcW w:type="dxa" w:w="4802"/>
          </w:tcPr>
          <w:p>
            <w:pPr>
              <w:spacing w:before="80" w:after="80"/>
            </w:pPr>
            <w:r>
              <w:rPr>
                <w:b w:val="0"/>
                <w:sz w:val="22"/>
              </w:rPr>
              <w:t>________________________________</w:t>
            </w:r>
          </w:p>
        </w:tc>
      </w:tr>
      <w:tr>
        <w:tc>
          <w:tcPr>
            <w:tcW w:type="dxa" w:w="4802"/>
          </w:tcPr>
          <w:p>
            <w:pPr>
              <w:spacing w:before="80" w:after="80"/>
            </w:pPr>
            <w:r>
              <w:rPr>
                <w:b w:val="0"/>
                <w:sz w:val="22"/>
              </w:rPr>
              <w:t>Approval limits and escalation contacts</w:t>
            </w:r>
          </w:p>
        </w:tc>
        <w:tc>
          <w:tcPr>
            <w:tcW w:type="dxa" w:w="4802"/>
          </w:tcPr>
          <w:p>
            <w:pPr>
              <w:spacing w:before="80" w:after="80"/>
            </w:pPr>
            <w:r>
              <w:rPr>
                <w:b w:val="0"/>
                <w:sz w:val="22"/>
              </w:rPr>
              <w:t>________________________________</w:t>
            </w:r>
          </w:p>
        </w:tc>
      </w:tr>
      <w:tr>
        <w:tc>
          <w:tcPr>
            <w:tcW w:type="dxa" w:w="4802"/>
          </w:tcPr>
          <w:p>
            <w:pPr>
              <w:spacing w:before="80" w:after="80"/>
            </w:pPr>
            <w:r>
              <w:rPr>
                <w:b w:val="0"/>
                <w:sz w:val="22"/>
              </w:rPr>
              <w:t>Reporting deadlines and source systems</w:t>
            </w:r>
          </w:p>
        </w:tc>
        <w:tc>
          <w:tcPr>
            <w:tcW w:type="dxa" w:w="4802"/>
          </w:tcPr>
          <w:p>
            <w:pPr>
              <w:spacing w:before="80" w:after="80"/>
            </w:pPr>
            <w:r>
              <w:rPr>
                <w:b w:val="0"/>
                <w:sz w:val="22"/>
              </w:rPr>
              <w:t>________________________________</w:t>
            </w:r>
          </w:p>
        </w:tc>
      </w:tr>
      <w:tr>
        <w:tc>
          <w:tcPr>
            <w:tcW w:type="dxa" w:w="4802"/>
          </w:tcPr>
          <w:p>
            <w:pPr>
              <w:spacing w:before="80" w:after="80"/>
            </w:pPr>
            <w:r>
              <w:rPr>
                <w:b w:val="0"/>
                <w:sz w:val="22"/>
              </w:rPr>
              <w:t>Approved registers and record access</w:t>
            </w:r>
          </w:p>
        </w:tc>
        <w:tc>
          <w:tcPr>
            <w:tcW w:type="dxa" w:w="4802"/>
          </w:tcPr>
          <w:p>
            <w:pPr>
              <w:spacing w:before="80" w:after="80"/>
            </w:pPr>
            <w:r>
              <w:rPr>
                <w:b w:val="0"/>
                <w:sz w:val="22"/>
              </w:rPr>
              <w:t>________________________________</w:t>
            </w:r>
          </w:p>
        </w:tc>
      </w:tr>
    </w:tbl>
    <w:sectPr w:rsidR="00FC693F" w:rsidRPr="0006063C" w:rsidSect="00034616">
      <w:headerReference w:type="default" r:id="rId9"/>
      <w:footerReference w:type="default" r:id="rId10"/>
      <w:footerReference w:type="first" r:id="rId11"/>
      <w:footerReference w:type="even" r:id="rId12"/>
      <w:pgSz w:w="11909" w:h="16834"/>
      <w:pgMar w:top="1181" w:right="1152" w:bottom="1181"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PRO LIFE SOP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rPr>
      <w:t>PRO LIFE  /  RETAIL OPERATIONS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pPr>
    <w:rPr>
      <w:rFonts w:ascii="Calibri" w:hAnsi="Calibri"/>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5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