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01   /   CUSTOMER ARRIVAL</w:t>
      </w:r>
    </w:p>
    <w:p>
      <w:pPr>
        <w:pStyle w:val="Title"/>
      </w:pPr>
      <w:r>
        <w:t>Pro Life Retail Service Guide</w:t>
      </w:r>
    </w:p>
    <w:p>
      <w:pPr>
        <w:pStyle w:val="Heading2"/>
      </w:pPr>
      <w:r>
        <w:t>Standard Service Procedures</w:t>
      </w:r>
    </w:p>
    <w:p>
      <w:r>
        <w:t>Use this guide to welcome customers and caregivers, match products to their needs, and complete the handover and follow-up.</w:t>
      </w:r>
    </w:p>
    <w:p>
      <w:pPr>
        <w:pStyle w:val="Heading2"/>
      </w:pPr>
      <w:r>
        <w:t>Offer seating before the consultation</w:t>
      </w:r>
    </w:p>
    <w:p>
      <w:r>
        <w:t>Offer older customers a seat in the front-right seating area when appropriate, especially if standing or walking is difficult or a wait is expected. Ask before assisting. If a customer is comfortable in their wheelchair, bring the consultation to them.</w:t>
      </w:r>
    </w:p>
    <w:p>
      <w:r>
        <w:t>“Would you prefer to sit while we talk? I can bring the product options over to you.”</w:t>
      </w:r>
    </w:p>
    <w:p>
      <w:pPr>
        <w:pStyle w:val="Heading2"/>
      </w:pPr>
      <w:r>
        <w:t>Involve the caregiver</w:t>
      </w:r>
    </w:p>
    <w:p>
      <w:r>
        <w:t>Speak directly to the person who will use the equipment. Ask how they would like their caregiver involved, what they want to do at home, and which tasks the caregiver will help with.</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100" w:after="100"/>
            </w:pPr>
            <w:r>
              <w:rPr>
                <w:b/>
                <w:sz w:val="22"/>
              </w:rPr>
              <w:t>Situation</w:t>
            </w:r>
          </w:p>
        </w:tc>
        <w:tc>
          <w:tcPr>
            <w:tcW w:type="dxa" w:w="4802"/>
          </w:tcPr>
          <w:p>
            <w:pPr>
              <w:spacing w:before="100" w:after="100"/>
            </w:pPr>
            <w:r>
              <w:rPr>
                <w:b/>
                <w:sz w:val="22"/>
              </w:rPr>
              <w:t>Staff response</w:t>
            </w:r>
          </w:p>
        </w:tc>
      </w:tr>
      <w:tr>
        <w:tc>
          <w:tcPr>
            <w:tcW w:type="dxa" w:w="4802"/>
          </w:tcPr>
          <w:p>
            <w:pPr>
              <w:spacing w:before="100" w:after="100"/>
            </w:pPr>
            <w:r>
              <w:rPr>
                <w:b w:val="0"/>
                <w:sz w:val="22"/>
              </w:rPr>
              <w:t>Caregiver shopping alone</w:t>
            </w:r>
          </w:p>
        </w:tc>
        <w:tc>
          <w:tcPr>
            <w:tcW w:type="dxa" w:w="4802"/>
          </w:tcPr>
          <w:p>
            <w:pPr>
              <w:spacing w:before="100" w:after="100"/>
            </w:pPr>
            <w:r>
              <w:rPr>
                <w:b w:val="0"/>
                <w:sz w:val="22"/>
              </w:rPr>
              <w:t>Ask what the user wants and what measurements or instructions the caregiver has brought.</w:t>
            </w:r>
          </w:p>
        </w:tc>
      </w:tr>
      <w:tr>
        <w:tc>
          <w:tcPr>
            <w:tcW w:type="dxa" w:w="4802"/>
          </w:tcPr>
          <w:p>
            <w:pPr>
              <w:spacing w:before="100" w:after="100"/>
            </w:pPr>
            <w:r>
              <w:rPr>
                <w:b w:val="0"/>
                <w:sz w:val="22"/>
              </w:rPr>
              <w:t>Different priorities</w:t>
            </w:r>
          </w:p>
        </w:tc>
        <w:tc>
          <w:tcPr>
            <w:tcW w:type="dxa" w:w="4802"/>
          </w:tcPr>
          <w:p>
            <w:pPr>
              <w:spacing w:before="100" w:after="100"/>
            </w:pPr>
            <w:r>
              <w:rPr>
                <w:b w:val="0"/>
                <w:sz w:val="22"/>
              </w:rPr>
              <w:t>Summarise both priorities and compare options against each.</w:t>
            </w:r>
          </w:p>
        </w:tc>
      </w:tr>
      <w:tr>
        <w:tc>
          <w:tcPr>
            <w:tcW w:type="dxa" w:w="4802"/>
          </w:tcPr>
          <w:p>
            <w:pPr>
              <w:spacing w:before="100" w:after="100"/>
            </w:pPr>
            <w:r>
              <w:rPr>
                <w:b w:val="0"/>
                <w:sz w:val="22"/>
              </w:rPr>
              <w:t>Hospital discharge</w:t>
            </w:r>
          </w:p>
        </w:tc>
        <w:tc>
          <w:tcPr>
            <w:tcW w:type="dxa" w:w="4802"/>
          </w:tcPr>
          <w:p>
            <w:pPr>
              <w:spacing w:before="100" w:after="100"/>
            </w:pPr>
            <w:r>
              <w:rPr>
                <w:b w:val="0"/>
                <w:sz w:val="22"/>
              </w:rPr>
              <w:t>Confirm the required date, written equipment requirements and who will receive delivery. Check availability before committing.</w:t>
            </w:r>
          </w:p>
        </w:tc>
      </w:tr>
    </w:tbl>
    <w:p>
      <w:r>
        <w:br w:type="page"/>
      </w:r>
    </w:p>
    <w:p>
      <w:r>
        <w:t>02   /   SERVICE FLOW</w:t>
      </w:r>
    </w:p>
    <w:p>
      <w:pPr>
        <w:pStyle w:val="Heading1"/>
      </w:pPr>
      <w:r>
        <w:t>Choose the right service route</w:t>
      </w:r>
    </w:p>
    <w:p>
      <w:r>
        <w:drawing>
          <wp:inline xmlns:a="http://schemas.openxmlformats.org/drawingml/2006/main" xmlns:pic="http://schemas.openxmlformats.org/drawingml/2006/picture">
            <wp:extent cx="5989320" cy="4718858"/>
            <wp:docPr id="1" name="Picture 1"/>
            <wp:cNvGraphicFramePr>
              <a:graphicFrameLocks noChangeAspect="1"/>
            </wp:cNvGraphicFramePr>
            <a:graphic>
              <a:graphicData uri="http://schemas.openxmlformats.org/drawingml/2006/picture">
                <pic:pic>
                  <pic:nvPicPr>
                    <pic:cNvPr id="0" name="plssflow.png"/>
                    <pic:cNvPicPr/>
                  </pic:nvPicPr>
                  <pic:blipFill>
                    <a:blip r:embed="rId11"/>
                    <a:stretch>
                      <a:fillRect/>
                    </a:stretch>
                  </pic:blipFill>
                  <pic:spPr>
                    <a:xfrm>
                      <a:off x="0" y="0"/>
                      <a:ext cx="5989320" cy="4718858"/>
                    </a:xfrm>
                    <a:prstGeom prst="rect"/>
                  </pic:spPr>
                </pic:pic>
              </a:graphicData>
            </a:graphic>
          </wp:inline>
        </w:drawing>
      </w:r>
    </w:p>
    <w:p>
      <w:pPr>
        <w:pStyle w:val="Heading2"/>
      </w:pPr>
      <w:r>
        <w:t>When information is missing</w:t>
      </w:r>
    </w:p>
    <w:p>
      <w:r>
        <w:t>Tell the customer what will resolve the enquiry, such as a photo of the refill label, a doorway measurement or written equipment requirements. Record who will confirm it and when.</w:t>
      </w:r>
    </w:p>
    <w:p>
      <w:r>
        <w:br w:type="page"/>
      </w:r>
    </w:p>
    <w:p>
      <w:r>
        <w:t>03   /   PRODUCT SELECTION</w:t>
      </w:r>
    </w:p>
    <w:p>
      <w:pPr>
        <w:pStyle w:val="Heading1"/>
      </w:pPr>
      <w:r>
        <w:t>Compare products with the caregiver</w:t>
      </w:r>
    </w:p>
    <w:p>
      <w:r>
        <w:t>Show two suitable options when available. Explain a practical difference, such as the weight a caregiver needs to lift or the space required at home.</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100" w:after="100"/>
            </w:pPr>
            <w:r>
              <w:rPr>
                <w:b/>
                <w:sz w:val="22"/>
              </w:rPr>
              <w:t>Department</w:t>
            </w:r>
          </w:p>
        </w:tc>
        <w:tc>
          <w:tcPr>
            <w:tcW w:type="dxa" w:w="4802"/>
          </w:tcPr>
          <w:p>
            <w:pPr>
              <w:spacing w:before="100" w:after="100"/>
            </w:pPr>
            <w:r>
              <w:rPr>
                <w:b/>
                <w:sz w:val="22"/>
              </w:rPr>
              <w:t>What to check and show</w:t>
            </w:r>
          </w:p>
        </w:tc>
      </w:tr>
      <w:tr>
        <w:tc>
          <w:tcPr>
            <w:tcW w:type="dxa" w:w="4802"/>
          </w:tcPr>
          <w:p>
            <w:pPr>
              <w:spacing w:before="100" w:after="100"/>
            </w:pPr>
            <w:r>
              <w:rPr>
                <w:b w:val="0"/>
                <w:sz w:val="22"/>
              </w:rPr>
              <w:t>Mobility</w:t>
            </w:r>
          </w:p>
        </w:tc>
        <w:tc>
          <w:tcPr>
            <w:tcW w:type="dxa" w:w="4802"/>
          </w:tcPr>
          <w:p>
            <w:pPr>
              <w:spacing w:before="100" w:after="100"/>
            </w:pPr>
            <w:r>
              <w:rPr>
                <w:b w:val="0"/>
                <w:sz w:val="22"/>
              </w:rPr>
              <w:t>Confirm fit, intended use, who will propel or lift the chair, and the model’s stated weight limit. Show brakes, footrests and folding. Bring commodes down from the display shelf for a floor-level demo.</w:t>
            </w:r>
          </w:p>
        </w:tc>
      </w:tr>
      <w:tr>
        <w:tc>
          <w:tcPr>
            <w:tcW w:type="dxa" w:w="4802"/>
          </w:tcPr>
          <w:p>
            <w:pPr>
              <w:spacing w:before="100" w:after="100"/>
            </w:pPr>
            <w:r>
              <w:rPr>
                <w:b w:val="0"/>
                <w:sz w:val="22"/>
              </w:rPr>
              <w:t>Patient care equipment</w:t>
            </w:r>
          </w:p>
        </w:tc>
        <w:tc>
          <w:tcPr>
            <w:tcW w:type="dxa" w:w="4802"/>
          </w:tcPr>
          <w:p>
            <w:pPr>
              <w:spacing w:before="100" w:after="100"/>
            </w:pPr>
            <w:r>
              <w:rPr>
                <w:b w:val="0"/>
                <w:sz w:val="22"/>
              </w:rPr>
              <w:t>Check bed features, mattress compatibility, doorway measurements and delivery access. Show the controls and confirm who will operate them.</w:t>
            </w:r>
          </w:p>
        </w:tc>
      </w:tr>
      <w:tr>
        <w:tc>
          <w:tcPr>
            <w:tcW w:type="dxa" w:w="4802"/>
          </w:tcPr>
          <w:p>
            <w:pPr>
              <w:spacing w:before="100" w:after="100"/>
            </w:pPr>
            <w:r>
              <w:rPr>
                <w:b w:val="0"/>
                <w:sz w:val="22"/>
              </w:rPr>
              <w:t>Respiratory</w:t>
            </w:r>
          </w:p>
        </w:tc>
        <w:tc>
          <w:tcPr>
            <w:tcW w:type="dxa" w:w="4802"/>
          </w:tcPr>
          <w:p>
            <w:pPr>
              <w:spacing w:before="100" w:after="100"/>
            </w:pPr>
            <w:r>
              <w:rPr>
                <w:b w:val="0"/>
                <w:sz w:val="22"/>
              </w:rPr>
              <w:t>Match equipment to documented clinical requirements and check accessory compatibility. Refer settings and care techniques to the clinician or trained provider.</w:t>
            </w:r>
          </w:p>
        </w:tc>
      </w:tr>
      <w:tr>
        <w:tc>
          <w:tcPr>
            <w:tcW w:type="dxa" w:w="4802"/>
          </w:tcPr>
          <w:p>
            <w:pPr>
              <w:spacing w:before="100" w:after="100"/>
            </w:pPr>
            <w:r>
              <w:rPr>
                <w:b w:val="0"/>
                <w:sz w:val="22"/>
              </w:rPr>
              <w:t>Rehab and sport</w:t>
            </w:r>
          </w:p>
        </w:tc>
        <w:tc>
          <w:tcPr>
            <w:tcW w:type="dxa" w:w="4802"/>
          </w:tcPr>
          <w:p>
            <w:pPr>
              <w:spacing w:before="100" w:after="100"/>
            </w:pPr>
            <w:r>
              <w:rPr>
                <w:b w:val="0"/>
                <w:sz w:val="22"/>
              </w:rPr>
              <w:t>Confirm body area, side and size. Follow the manufacturer’s fitting instructions and involve the person who will help put it on.</w:t>
            </w:r>
          </w:p>
        </w:tc>
      </w:tr>
      <w:tr>
        <w:tc>
          <w:tcPr>
            <w:tcW w:type="dxa" w:w="4802"/>
          </w:tcPr>
          <w:p>
            <w:pPr>
              <w:spacing w:before="100" w:after="100"/>
            </w:pPr>
            <w:r>
              <w:rPr>
                <w:b w:val="0"/>
                <w:sz w:val="22"/>
              </w:rPr>
              <w:t>Medical consumables</w:t>
            </w:r>
          </w:p>
        </w:tc>
        <w:tc>
          <w:tcPr>
            <w:tcW w:type="dxa" w:w="4802"/>
          </w:tcPr>
          <w:p>
            <w:pPr>
              <w:spacing w:before="100" w:after="100"/>
            </w:pPr>
            <w:r>
              <w:rPr>
                <w:b w:val="0"/>
                <w:sz w:val="22"/>
              </w:rPr>
              <w:t>Verify size, pack quantity, expiry where applicable and device compatibility. Match the old label before offering a substitute.</w:t>
            </w:r>
          </w:p>
        </w:tc>
      </w:tr>
      <w:tr>
        <w:tc>
          <w:tcPr>
            <w:tcW w:type="dxa" w:w="4802"/>
          </w:tcPr>
          <w:p>
            <w:pPr>
              <w:spacing w:before="100" w:after="100"/>
            </w:pPr>
            <w:r>
              <w:rPr>
                <w:b w:val="0"/>
                <w:sz w:val="22"/>
              </w:rPr>
              <w:t>Specialist equipment</w:t>
            </w:r>
          </w:p>
        </w:tc>
        <w:tc>
          <w:tcPr>
            <w:tcW w:type="dxa" w:w="4802"/>
          </w:tcPr>
          <w:p>
            <w:pPr>
              <w:spacing w:before="100" w:after="100"/>
            </w:pPr>
            <w:r>
              <w:rPr>
                <w:b w:val="0"/>
                <w:sz w:val="22"/>
              </w:rPr>
              <w:t>Record the hydrogen machine or chamber model and route the enquiry to the designated specialist.</w:t>
            </w:r>
          </w:p>
        </w:tc>
      </w:tr>
    </w:tbl>
    <w:p>
      <w:pPr>
        <w:pStyle w:val="Heading2"/>
      </w:pPr>
      <w:r>
        <w:t>Prepare the demonstration</w:t>
      </w:r>
    </w:p>
    <w:p>
      <w:r>
        <w:t>Use the exact model under consideration and a clear floor area. Assign demonstrations to trained staff.</w:t>
      </w:r>
    </w:p>
    <w:p>
      <w:r>
        <w:br w:type="page"/>
      </w:r>
    </w:p>
    <w:p>
      <w:r>
        <w:t>04   /   ORDER AND HANDOVER</w:t>
      </w:r>
    </w:p>
    <w:p>
      <w:pPr>
        <w:pStyle w:val="Heading1"/>
      </w:pPr>
      <w:r>
        <w:t>Confirm the sale and hand over</w:t>
      </w:r>
    </w:p>
    <w:p>
      <w:pPr>
        <w:pStyle w:val="Heading2"/>
      </w:pPr>
      <w:r>
        <w:t>Before payment</w:t>
      </w:r>
    </w:p>
    <w:p>
      <w:r>
        <w:t>Read back the exact model or size, quantity and total. Check availability, included accessories, delivery and installation charges, and the expected date. Confirm who will receive the equipment.</w:t>
      </w:r>
    </w:p>
    <w:p>
      <w:pPr>
        <w:pStyle w:val="Heading2"/>
      </w:pPr>
      <w:r>
        <w:t>At collection or delivery</w:t>
      </w:r>
    </w:p>
    <w:p>
      <w:pPr>
        <w:pStyle w:val="ListBullet"/>
      </w:pPr>
      <w:r>
        <w:t>Match the product and accessories to the invoice.</w:t>
      </w:r>
    </w:p>
    <w:p>
      <w:pPr>
        <w:pStyle w:val="ListBullet"/>
      </w:pPr>
      <w:r>
        <w:t>Record the serial number where applicable.</w:t>
      </w:r>
    </w:p>
    <w:p>
      <w:pPr>
        <w:pStyle w:val="ListBullet"/>
      </w:pPr>
      <w:r>
        <w:t>Provide the receipt, instructions and store contact. Explain the applicable warranty and exchange terms.</w:t>
      </w:r>
    </w:p>
    <w:p>
      <w:pPr>
        <w:pStyle w:val="ListBullet"/>
      </w:pPr>
      <w:r>
        <w:t>Ask the person who will operate the equipment to show one key task covered in the demonstration.</w:t>
      </w:r>
    </w:p>
    <w:p>
      <w:r>
        <w:t>“Could you show me how you’d apply the brakes? We can go over anything that needs another demonstration.”</w:t>
      </w:r>
    </w:p>
    <w:p>
      <w:pPr>
        <w:pStyle w:val="Heading2"/>
      </w:pPr>
      <w:r>
        <w:t>When another caregiver will use the equipment</w:t>
      </w:r>
    </w:p>
    <w:p>
      <w:r>
        <w:t>Agree who should receive the operating instructions and how they will receive them. Give any pending item a named owner and a time for the next update.</w:t>
      </w:r>
    </w:p>
    <w:p>
      <w:r>
        <w:br w:type="page"/>
      </w:r>
    </w:p>
    <w:p>
      <w:r>
        <w:t>05   /   SHIFT AND AFTER SALES</w:t>
      </w:r>
    </w:p>
    <w:p>
      <w:pPr>
        <w:pStyle w:val="Heading1"/>
      </w:pPr>
      <w:r>
        <w:t>Follow up and close the loop</w:t>
      </w:r>
    </w:p>
    <w:tbl>
      <w:tblPr>
        <w:tblStyle w:val="LightShading-Accent1"/>
        <w:tblW w:type="auto" w:w="0"/>
        <w:tblLook w:firstColumn="1" w:firstRow="1" w:lastColumn="0" w:lastRow="0" w:noHBand="0" w:noVBand="1" w:val="04A0"/>
      </w:tblPr>
      <w:tblGrid>
        <w:gridCol w:w="4802"/>
        <w:gridCol w:w="4802"/>
      </w:tblGrid>
      <w:tr>
        <w:tc>
          <w:tcPr>
            <w:tcW w:type="dxa" w:w="4802"/>
          </w:tcPr>
          <w:p>
            <w:pPr>
              <w:spacing w:before="100" w:after="100"/>
            </w:pPr>
            <w:r>
              <w:rPr>
                <w:b/>
                <w:sz w:val="22"/>
              </w:rPr>
              <w:t>When</w:t>
            </w:r>
          </w:p>
        </w:tc>
        <w:tc>
          <w:tcPr>
            <w:tcW w:type="dxa" w:w="4802"/>
          </w:tcPr>
          <w:p>
            <w:pPr>
              <w:spacing w:before="100" w:after="100"/>
            </w:pPr>
            <w:r>
              <w:rPr>
                <w:b/>
                <w:sz w:val="22"/>
              </w:rPr>
              <w:t>Staff action</w:t>
            </w:r>
          </w:p>
        </w:tc>
      </w:tr>
      <w:tr>
        <w:tc>
          <w:tcPr>
            <w:tcW w:type="dxa" w:w="4802"/>
          </w:tcPr>
          <w:p>
            <w:pPr>
              <w:spacing w:before="100" w:after="100"/>
            </w:pPr>
            <w:r>
              <w:rPr>
                <w:b w:val="0"/>
                <w:sz w:val="22"/>
              </w:rPr>
              <w:t>Opening</w:t>
            </w:r>
          </w:p>
        </w:tc>
        <w:tc>
          <w:tcPr>
            <w:tcW w:type="dxa" w:w="4802"/>
          </w:tcPr>
          <w:p>
            <w:pPr>
              <w:spacing w:before="100" w:after="100"/>
            </w:pPr>
            <w:r>
              <w:rPr>
                <w:b w:val="0"/>
                <w:sz w:val="22"/>
              </w:rPr>
              <w:t>Check aisles, seating, price cards and demo equipment. Review deliveries and callbacks due today.</w:t>
            </w:r>
          </w:p>
        </w:tc>
      </w:tr>
      <w:tr>
        <w:tc>
          <w:tcPr>
            <w:tcW w:type="dxa" w:w="4802"/>
          </w:tcPr>
          <w:p>
            <w:pPr>
              <w:spacing w:before="100" w:after="100"/>
            </w:pPr>
            <w:r>
              <w:rPr>
                <w:b w:val="0"/>
                <w:sz w:val="22"/>
              </w:rPr>
              <w:t>During the shift</w:t>
            </w:r>
          </w:p>
        </w:tc>
        <w:tc>
          <w:tcPr>
            <w:tcW w:type="dxa" w:w="4802"/>
          </w:tcPr>
          <w:p>
            <w:pPr>
              <w:spacing w:before="100" w:after="100"/>
            </w:pPr>
            <w:r>
              <w:rPr>
                <w:b w:val="0"/>
                <w:sz w:val="22"/>
              </w:rPr>
              <w:t>Log the invoice or model, issue, owner and next update time. Escalate equipment faults that could affect safe operation to the shift lead.</w:t>
            </w:r>
          </w:p>
        </w:tc>
      </w:tr>
      <w:tr>
        <w:tc>
          <w:tcPr>
            <w:tcW w:type="dxa" w:w="4802"/>
          </w:tcPr>
          <w:p>
            <w:pPr>
              <w:spacing w:before="100" w:after="100"/>
            </w:pPr>
            <w:r>
              <w:rPr>
                <w:b w:val="0"/>
                <w:sz w:val="22"/>
              </w:rPr>
              <w:t>After equipment delivery</w:t>
            </w:r>
          </w:p>
        </w:tc>
        <w:tc>
          <w:tcPr>
            <w:tcW w:type="dxa" w:w="4802"/>
          </w:tcPr>
          <w:p>
            <w:pPr>
              <w:spacing w:before="100" w:after="100"/>
            </w:pPr>
            <w:r>
              <w:rPr>
                <w:b w:val="0"/>
                <w:sz w:val="22"/>
              </w:rPr>
              <w:t>Under the proposed pilot, check by the next business day that the correct items arrived and setup was completed as agreed. Ask whether the customer or caregiver has a handover question.</w:t>
            </w:r>
          </w:p>
        </w:tc>
      </w:tr>
      <w:tr>
        <w:tc>
          <w:tcPr>
            <w:tcW w:type="dxa" w:w="4802"/>
          </w:tcPr>
          <w:p>
            <w:pPr>
              <w:spacing w:before="100" w:after="100"/>
            </w:pPr>
            <w:r>
              <w:rPr>
                <w:b w:val="0"/>
                <w:sz w:val="22"/>
              </w:rPr>
              <w:t>Closing</w:t>
            </w:r>
          </w:p>
        </w:tc>
        <w:tc>
          <w:tcPr>
            <w:tcW w:type="dxa" w:w="4802"/>
          </w:tcPr>
          <w:p>
            <w:pPr>
              <w:spacing w:before="100" w:after="100"/>
            </w:pPr>
            <w:r>
              <w:rPr>
                <w:b w:val="0"/>
                <w:sz w:val="22"/>
              </w:rPr>
              <w:t>Pass each unresolved quote, delivery or service case to the next shift with a named owner and a specific action. Update customers at the promised time.</w:t>
            </w:r>
          </w:p>
        </w:tc>
      </w:tr>
    </w:tbl>
    <w:p>
      <w:pPr>
        <w:pStyle w:val="Heading2"/>
      </w:pPr>
      <w:r>
        <w:t>Branch lead to complete before rollout</w:t>
      </w:r>
    </w:p>
    <w:p>
      <w:pPr>
        <w:pStyle w:val="ListBullet"/>
      </w:pPr>
      <w:r>
        <w:t>Specialist and escalation contacts</w:t>
      </w:r>
    </w:p>
    <w:p>
      <w:pPr>
        <w:pStyle w:val="ListBullet"/>
      </w:pPr>
      <w:r>
        <w:t>Discount authority</w:t>
      </w:r>
    </w:p>
    <w:p>
      <w:pPr>
        <w:pStyle w:val="ListBullet"/>
      </w:pPr>
      <w:r>
        <w:t>Warranty and exchange process</w:t>
      </w:r>
    </w:p>
    <w:p>
      <w:pPr>
        <w:pStyle w:val="ListBullet"/>
      </w:pPr>
      <w:r>
        <w:t>Delivery and installation coverage</w:t>
      </w:r>
    </w:p>
    <w:p>
      <w:pPr>
        <w:pStyle w:val="ListBullet"/>
      </w:pPr>
      <w:r>
        <w:t>Location of the shared case log and confirmation of follow-up timing</w:t>
      </w:r>
    </w:p>
    <w:sectPr w:rsidR="00FC693F" w:rsidRPr="0006063C" w:rsidSect="00034616">
      <w:headerReference w:type="default" r:id="rId9"/>
      <w:footerReference w:type="default" r:id="rId10"/>
      <w:pgSz w:w="11909" w:h="16834"/>
      <w:pgMar w:top="1224" w:right="1152" w:bottom="122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STAFF GUIDE   •   PILOT DRAFT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rPr>
      <w:t>PRO LIFE   /   RETAIL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0"/>
    </w:pPr>
    <w:rPr>
      <w:rFonts w:ascii="Calibri" w:hAnsi="Calibri"/>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5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